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60" w:rsidRDefault="00830360" w:rsidP="00830360">
      <w:pPr>
        <w:spacing w:after="0" w:line="240" w:lineRule="auto"/>
        <w:rPr>
          <w:rFonts w:ascii="Verdana" w:hAnsi="Verdana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59CD709" wp14:editId="2CF23D2D">
            <wp:simplePos x="0" y="0"/>
            <wp:positionH relativeFrom="column">
              <wp:posOffset>4019550</wp:posOffset>
            </wp:positionH>
            <wp:positionV relativeFrom="paragraph">
              <wp:posOffset>-660400</wp:posOffset>
            </wp:positionV>
            <wp:extent cx="230505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421" y="21471"/>
                <wp:lineTo x="2142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imag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56" t="2705" r="4618" b="65946"/>
                    <a:stretch/>
                  </pic:blipFill>
                  <pic:spPr bwMode="auto">
                    <a:xfrm>
                      <a:off x="0" y="0"/>
                      <a:ext cx="2305050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360" w:rsidRDefault="00830360" w:rsidP="00830360">
      <w:pPr>
        <w:spacing w:after="0" w:line="240" w:lineRule="auto"/>
        <w:rPr>
          <w:rFonts w:ascii="Verdana" w:hAnsi="Verdana"/>
        </w:rPr>
      </w:pPr>
    </w:p>
    <w:p w:rsidR="00830360" w:rsidRDefault="00830360" w:rsidP="00830360">
      <w:pPr>
        <w:spacing w:after="0" w:line="240" w:lineRule="auto"/>
        <w:rPr>
          <w:rFonts w:ascii="Verdana" w:hAnsi="Verdana"/>
        </w:rPr>
      </w:pPr>
    </w:p>
    <w:p w:rsidR="00830360" w:rsidRDefault="00830360" w:rsidP="00830360">
      <w:pPr>
        <w:spacing w:after="0" w:line="240" w:lineRule="auto"/>
        <w:rPr>
          <w:rFonts w:ascii="Verdana" w:hAnsi="Verdana"/>
        </w:rPr>
      </w:pPr>
    </w:p>
    <w:p w:rsidR="00830360" w:rsidRDefault="00830360" w:rsidP="00830360">
      <w:pPr>
        <w:spacing w:after="0" w:line="240" w:lineRule="auto"/>
        <w:rPr>
          <w:rFonts w:ascii="Verdana" w:hAnsi="Verdana"/>
        </w:rPr>
      </w:pPr>
    </w:p>
    <w:p w:rsidR="00830360" w:rsidRDefault="00830360" w:rsidP="00830360">
      <w:pPr>
        <w:spacing w:after="0" w:line="240" w:lineRule="auto"/>
        <w:rPr>
          <w:rFonts w:ascii="Verdana" w:hAnsi="Verdana"/>
        </w:rPr>
      </w:pPr>
    </w:p>
    <w:p w:rsidR="00830360" w:rsidRDefault="00830360" w:rsidP="00830360">
      <w:pPr>
        <w:spacing w:after="0" w:line="240" w:lineRule="auto"/>
        <w:rPr>
          <w:rFonts w:ascii="Verdana" w:hAnsi="Verdana"/>
        </w:rPr>
      </w:pPr>
    </w:p>
    <w:p w:rsidR="00830360" w:rsidRDefault="00830360" w:rsidP="00830360">
      <w:pPr>
        <w:spacing w:after="0" w:line="240" w:lineRule="auto"/>
        <w:rPr>
          <w:rFonts w:ascii="Verdana" w:hAnsi="Verdana"/>
        </w:rPr>
      </w:pPr>
    </w:p>
    <w:p w:rsidR="00830360" w:rsidRDefault="00830360" w:rsidP="00830360">
      <w:pPr>
        <w:spacing w:after="0" w:line="240" w:lineRule="auto"/>
        <w:rPr>
          <w:rFonts w:ascii="Verdana" w:hAnsi="Verdana"/>
        </w:rPr>
      </w:pPr>
    </w:p>
    <w:p w:rsidR="00830360" w:rsidRDefault="00830360" w:rsidP="00830360">
      <w:pPr>
        <w:spacing w:after="0" w:line="240" w:lineRule="auto"/>
        <w:rPr>
          <w:rFonts w:ascii="Verdana" w:hAnsi="Verdana"/>
        </w:rPr>
      </w:pPr>
    </w:p>
    <w:p w:rsidR="00830360" w:rsidRPr="00471313" w:rsidRDefault="00830360" w:rsidP="0083036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71313">
        <w:rPr>
          <w:rFonts w:ascii="Verdana" w:hAnsi="Verdana"/>
          <w:b/>
          <w:sz w:val="24"/>
          <w:szCs w:val="24"/>
        </w:rPr>
        <w:t xml:space="preserve">Recommendations for </w:t>
      </w:r>
      <w:r w:rsidR="00471313" w:rsidRPr="00471313">
        <w:rPr>
          <w:rFonts w:ascii="Verdana" w:hAnsi="Verdana"/>
          <w:b/>
          <w:sz w:val="24"/>
          <w:szCs w:val="24"/>
        </w:rPr>
        <w:t xml:space="preserve">Monitoring of Patients on </w:t>
      </w:r>
      <w:r w:rsidR="007C1B8D">
        <w:rPr>
          <w:rFonts w:ascii="Verdana" w:hAnsi="Verdana"/>
          <w:b/>
          <w:sz w:val="24"/>
          <w:szCs w:val="24"/>
        </w:rPr>
        <w:t>Long Course of</w:t>
      </w:r>
      <w:r w:rsidR="00471313" w:rsidRPr="00471313">
        <w:rPr>
          <w:rFonts w:ascii="Verdana" w:hAnsi="Verdana"/>
          <w:b/>
          <w:sz w:val="24"/>
          <w:szCs w:val="24"/>
        </w:rPr>
        <w:t xml:space="preserve"> Prednisolone</w:t>
      </w:r>
    </w:p>
    <w:p w:rsidR="00830360" w:rsidRDefault="00830360" w:rsidP="00830360">
      <w:pPr>
        <w:spacing w:after="0" w:line="240" w:lineRule="auto"/>
        <w:rPr>
          <w:rFonts w:ascii="Verdana" w:hAnsi="Verdana"/>
        </w:rPr>
      </w:pPr>
    </w:p>
    <w:p w:rsidR="00D915C4" w:rsidRDefault="00D915C4" w:rsidP="00ED32C1">
      <w:pPr>
        <w:spacing w:after="120" w:line="240" w:lineRule="auto"/>
        <w:rPr>
          <w:rFonts w:ascii="Verdana" w:hAnsi="Verdana"/>
        </w:rPr>
      </w:pPr>
    </w:p>
    <w:p w:rsidR="00E948DE" w:rsidRDefault="005205C3" w:rsidP="00ED32C1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Key messages in this factsheet </w:t>
      </w:r>
    </w:p>
    <w:p w:rsidR="005205C3" w:rsidRPr="005205C3" w:rsidRDefault="005205C3" w:rsidP="005205C3">
      <w:pPr>
        <w:pStyle w:val="ListParagraph"/>
        <w:numPr>
          <w:ilvl w:val="0"/>
          <w:numId w:val="11"/>
        </w:num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The Royal Victorian Eye and Ear Hospital is </w:t>
      </w:r>
      <w:r w:rsidR="004923D4">
        <w:rPr>
          <w:rFonts w:ascii="Verdana" w:hAnsi="Verdana"/>
        </w:rPr>
        <w:t>undertaking</w:t>
      </w:r>
      <w:r>
        <w:rPr>
          <w:rFonts w:ascii="Verdana" w:hAnsi="Verdana"/>
        </w:rPr>
        <w:t xml:space="preserve"> an initiative to minimise 3 specific risks associated with</w:t>
      </w:r>
      <w:r w:rsidR="00DB0496">
        <w:rPr>
          <w:rFonts w:ascii="Verdana" w:hAnsi="Verdana"/>
        </w:rPr>
        <w:t xml:space="preserve"> chronic</w:t>
      </w:r>
      <w:r>
        <w:rPr>
          <w:rFonts w:ascii="Verdana" w:hAnsi="Verdana"/>
        </w:rPr>
        <w:t xml:space="preserve"> oral steroid use – steroid induced hyperglycaemia, osteoporosis and PJP infection. </w:t>
      </w:r>
    </w:p>
    <w:p w:rsidR="005205C3" w:rsidRPr="00485605" w:rsidRDefault="005205C3" w:rsidP="005205C3">
      <w:pPr>
        <w:pStyle w:val="ListParagraph"/>
        <w:numPr>
          <w:ilvl w:val="0"/>
          <w:numId w:val="11"/>
        </w:num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You may receive a letter with the following recommendations when patients have been commenced on &gt;30mg/day of prednisolone for &gt;4 weeks. We consider the risks to be significantly increased above these thresholds. </w:t>
      </w:r>
    </w:p>
    <w:p w:rsidR="00485605" w:rsidRPr="00DB0496" w:rsidRDefault="00485605" w:rsidP="005205C3">
      <w:pPr>
        <w:pStyle w:val="ListParagraph"/>
        <w:numPr>
          <w:ilvl w:val="0"/>
          <w:numId w:val="11"/>
        </w:num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Giant cell arteritis is the classic example where these recommendations should apply. Other Eye and Ear indications such as optic neuritis and sudden sensorineural hearing loss only require a short course (~2 weeks). Duration of prednisolone for uveitis is variable and can cross the 4 weeks threshold to warrant close monitoring. </w:t>
      </w:r>
    </w:p>
    <w:p w:rsidR="00DB0496" w:rsidRPr="004923D4" w:rsidRDefault="00DB0496" w:rsidP="005205C3">
      <w:pPr>
        <w:pStyle w:val="ListParagraph"/>
        <w:numPr>
          <w:ilvl w:val="0"/>
          <w:numId w:val="11"/>
        </w:num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</w:rPr>
        <w:t>It is important for patients on steroids to have appropriate follow-up at RVEEH, if you are aware your patient has missed his/her appointment, please contact the sub-specialty fellow (Neuro-ophthalmology fellow for giant cell arteritis patients)</w:t>
      </w:r>
      <w:bookmarkStart w:id="0" w:name="_GoBack"/>
      <w:bookmarkEnd w:id="0"/>
    </w:p>
    <w:p w:rsidR="004923D4" w:rsidRPr="005205C3" w:rsidRDefault="004923D4" w:rsidP="004923D4">
      <w:pPr>
        <w:pStyle w:val="ListParagraph"/>
        <w:spacing w:after="120" w:line="240" w:lineRule="auto"/>
        <w:rPr>
          <w:rFonts w:ascii="Verdana" w:hAnsi="Verdana"/>
          <w:b/>
        </w:rPr>
      </w:pPr>
    </w:p>
    <w:p w:rsidR="00962A2F" w:rsidRPr="00A42858" w:rsidRDefault="00E948DE" w:rsidP="00A42858">
      <w:pPr>
        <w:spacing w:after="6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Detection and management of osteoporosis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01AC6" w:rsidTr="00EA5D9E">
        <w:tc>
          <w:tcPr>
            <w:tcW w:w="9854" w:type="dxa"/>
          </w:tcPr>
          <w:p w:rsidR="00701AC6" w:rsidRDefault="00701AC6" w:rsidP="00EA5D9E">
            <w:pPr>
              <w:spacing w:after="60" w:line="276" w:lineRule="auto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Calcium and vitamin D supplementation</w:t>
            </w:r>
            <w:r w:rsidR="00885149">
              <w:rPr>
                <w:rFonts w:ascii="Verdana" w:hAnsi="Verdana" w:cs="Arial"/>
                <w:b/>
              </w:rPr>
              <w:t>:</w:t>
            </w:r>
          </w:p>
          <w:p w:rsidR="00701AC6" w:rsidRDefault="00701AC6" w:rsidP="00EA5D9E">
            <w:pPr>
              <w:spacing w:after="60"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lang w:val="en"/>
              </w:rPr>
              <w:t xml:space="preserve">Recommended </w:t>
            </w:r>
            <w:r w:rsidR="003E2059">
              <w:rPr>
                <w:rFonts w:ascii="Verdana" w:hAnsi="Verdana" w:cs="Arial"/>
                <w:lang w:val="en"/>
              </w:rPr>
              <w:t>for all patients on prednisolone to prevent bone mineral density loss</w:t>
            </w:r>
            <w:r w:rsidR="00885149">
              <w:rPr>
                <w:rFonts w:ascii="Verdana" w:hAnsi="Verdana" w:cs="Arial"/>
                <w:lang w:val="en"/>
              </w:rPr>
              <w:t>.</w:t>
            </w:r>
          </w:p>
        </w:tc>
      </w:tr>
      <w:tr w:rsidR="00701AC6" w:rsidTr="00EA5D9E">
        <w:tc>
          <w:tcPr>
            <w:tcW w:w="9854" w:type="dxa"/>
          </w:tcPr>
          <w:p w:rsidR="00701AC6" w:rsidRDefault="003E2059" w:rsidP="00EA5D9E">
            <w:pPr>
              <w:spacing w:after="60" w:line="276" w:lineRule="auto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DXA bone densitometry:</w:t>
            </w:r>
          </w:p>
          <w:p w:rsidR="00701AC6" w:rsidRPr="003E2059" w:rsidRDefault="003E2059" w:rsidP="00EA5D9E">
            <w:pPr>
              <w:pStyle w:val="ListParagraph"/>
              <w:numPr>
                <w:ilvl w:val="0"/>
                <w:numId w:val="7"/>
              </w:numPr>
              <w:spacing w:after="6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Recommended for all patients 70 years or older</w:t>
            </w:r>
            <w:r w:rsidR="00885149">
              <w:rPr>
                <w:rFonts w:ascii="Verdana" w:hAnsi="Verdana"/>
              </w:rPr>
              <w:t>.</w:t>
            </w:r>
          </w:p>
          <w:p w:rsidR="003E2059" w:rsidRPr="00EA5D9E" w:rsidRDefault="003E2059" w:rsidP="00E75F9E">
            <w:pPr>
              <w:pStyle w:val="ListParagraph"/>
              <w:numPr>
                <w:ilvl w:val="0"/>
                <w:numId w:val="7"/>
              </w:numPr>
              <w:spacing w:after="6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Recommended for </w:t>
            </w:r>
            <w:r w:rsidR="00E75F9E">
              <w:rPr>
                <w:rFonts w:ascii="Verdana" w:hAnsi="Verdana"/>
              </w:rPr>
              <w:t>patients &gt;40 years old</w:t>
            </w:r>
            <w:r>
              <w:rPr>
                <w:rFonts w:ascii="Verdana" w:hAnsi="Verdana"/>
              </w:rPr>
              <w:t xml:space="preserve"> who are on prednisolone fo</w:t>
            </w:r>
            <w:r w:rsidR="00EA5D9E">
              <w:rPr>
                <w:rFonts w:ascii="Verdana" w:hAnsi="Verdana"/>
              </w:rPr>
              <w:t>r &gt;3 months with an</w:t>
            </w:r>
            <w:r>
              <w:rPr>
                <w:rFonts w:ascii="Verdana" w:hAnsi="Verdana"/>
              </w:rPr>
              <w:t xml:space="preserve"> average dose &gt;7.5mg</w:t>
            </w:r>
            <w:r w:rsidR="00E75F9E">
              <w:rPr>
                <w:rFonts w:ascii="Verdana" w:hAnsi="Verdana"/>
              </w:rPr>
              <w:t>/day (can be repeated every 12 months)</w:t>
            </w:r>
            <w:r>
              <w:rPr>
                <w:rFonts w:ascii="Verdana" w:hAnsi="Verdana"/>
              </w:rPr>
              <w:t xml:space="preserve">. </w:t>
            </w:r>
          </w:p>
        </w:tc>
      </w:tr>
      <w:tr w:rsidR="00701AC6" w:rsidTr="00EA5D9E">
        <w:tc>
          <w:tcPr>
            <w:tcW w:w="9854" w:type="dxa"/>
          </w:tcPr>
          <w:p w:rsidR="00701AC6" w:rsidRPr="00982DDA" w:rsidRDefault="00EA5D9E" w:rsidP="00EA5D9E">
            <w:pPr>
              <w:spacing w:after="60" w:line="276" w:lineRule="auto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Bisphosphonate and other anti-osteoporosis medications</w:t>
            </w:r>
            <w:r w:rsidR="00885149">
              <w:rPr>
                <w:rFonts w:ascii="Verdana" w:hAnsi="Verdana" w:cs="Arial"/>
                <w:b/>
              </w:rPr>
              <w:t>:</w:t>
            </w:r>
          </w:p>
          <w:p w:rsidR="00701AC6" w:rsidRPr="00885149" w:rsidRDefault="00EA5D9E" w:rsidP="00E75F9E">
            <w:pPr>
              <w:spacing w:after="60"/>
              <w:rPr>
                <w:rFonts w:ascii="Verdana" w:hAnsi="Verdana"/>
                <w:b/>
              </w:rPr>
            </w:pPr>
            <w:r w:rsidRPr="00885149">
              <w:rPr>
                <w:rFonts w:ascii="Verdana" w:hAnsi="Verdana"/>
              </w:rPr>
              <w:t xml:space="preserve">RACGP/Osteoporosis Australia </w:t>
            </w:r>
            <w:r w:rsidR="00E75F9E">
              <w:rPr>
                <w:rFonts w:ascii="Verdana" w:hAnsi="Verdana"/>
              </w:rPr>
              <w:t xml:space="preserve">guideline recommends treatment </w:t>
            </w:r>
            <w:r w:rsidRPr="00885149">
              <w:rPr>
                <w:rFonts w:ascii="Verdana" w:hAnsi="Verdana"/>
              </w:rPr>
              <w:t xml:space="preserve">based on history of previous minimal trauma fracture, T-score and fracture risk score. </w:t>
            </w:r>
          </w:p>
        </w:tc>
      </w:tr>
      <w:tr w:rsidR="00EA5D9E" w:rsidTr="00EA5D9E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854" w:type="dxa"/>
          </w:tcPr>
          <w:p w:rsidR="00EA5D9E" w:rsidRPr="00982DDA" w:rsidRDefault="00EA5D9E" w:rsidP="00EA5D9E">
            <w:pPr>
              <w:spacing w:after="60" w:line="276" w:lineRule="auto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Other recommendations</w:t>
            </w:r>
            <w:r w:rsidR="00885149">
              <w:rPr>
                <w:rFonts w:ascii="Verdana" w:hAnsi="Verdana" w:cs="Arial"/>
                <w:b/>
              </w:rPr>
              <w:t>:</w:t>
            </w:r>
          </w:p>
          <w:p w:rsidR="00EA5D9E" w:rsidRDefault="00EA5D9E" w:rsidP="00EA5D9E">
            <w:pPr>
              <w:spacing w:line="276" w:lineRule="auto"/>
              <w:ind w:left="10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Consider falls reduction strategies, exercise, smoking cessation and modifying </w:t>
            </w:r>
            <w:r w:rsidR="00885149">
              <w:rPr>
                <w:rFonts w:ascii="Verdana" w:hAnsi="Verdana"/>
              </w:rPr>
              <w:t xml:space="preserve">dietary/alcohol intake. </w:t>
            </w:r>
          </w:p>
        </w:tc>
      </w:tr>
    </w:tbl>
    <w:p w:rsidR="00EA5D9E" w:rsidRDefault="00EA5D9E" w:rsidP="00962A2F">
      <w:pPr>
        <w:spacing w:after="60"/>
        <w:jc w:val="both"/>
        <w:rPr>
          <w:rFonts w:ascii="Verdana" w:hAnsi="Verdana"/>
          <w:b/>
        </w:rPr>
      </w:pPr>
    </w:p>
    <w:p w:rsidR="00830360" w:rsidRPr="00962A2F" w:rsidRDefault="00830360" w:rsidP="00962A2F">
      <w:pPr>
        <w:spacing w:after="60"/>
        <w:jc w:val="both"/>
        <w:rPr>
          <w:rFonts w:ascii="Verdana" w:hAnsi="Verdana"/>
        </w:rPr>
      </w:pPr>
      <w:r>
        <w:rPr>
          <w:rFonts w:ascii="Verdana" w:hAnsi="Verdana"/>
          <w:b/>
        </w:rPr>
        <w:t>Detection and management of steroid-induced hyperglycaemia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ED32C1" w:rsidTr="00793385">
        <w:tc>
          <w:tcPr>
            <w:tcW w:w="2235" w:type="dxa"/>
          </w:tcPr>
          <w:p w:rsidR="00ED32C1" w:rsidRPr="00ED32C1" w:rsidRDefault="00ED32C1" w:rsidP="00830360">
            <w:pPr>
              <w:jc w:val="both"/>
              <w:rPr>
                <w:rFonts w:ascii="Verdana" w:hAnsi="Verdana"/>
                <w:b/>
              </w:rPr>
            </w:pPr>
            <w:r w:rsidRPr="00ED32C1">
              <w:rPr>
                <w:rFonts w:ascii="Verdana" w:hAnsi="Verdana"/>
                <w:b/>
              </w:rPr>
              <w:t xml:space="preserve">Monitoring </w:t>
            </w:r>
          </w:p>
        </w:tc>
        <w:tc>
          <w:tcPr>
            <w:tcW w:w="7654" w:type="dxa"/>
          </w:tcPr>
          <w:p w:rsidR="00ED32C1" w:rsidRPr="00ED32C1" w:rsidRDefault="00ED32C1" w:rsidP="00F611D4">
            <w:pPr>
              <w:spacing w:after="60"/>
              <w:jc w:val="both"/>
              <w:rPr>
                <w:rFonts w:ascii="Verdana" w:hAnsi="Verdana"/>
                <w:b/>
              </w:rPr>
            </w:pPr>
            <w:r w:rsidRPr="00ED32C1">
              <w:rPr>
                <w:rFonts w:ascii="Verdana" w:hAnsi="Verdana"/>
                <w:b/>
              </w:rPr>
              <w:t xml:space="preserve">When </w:t>
            </w:r>
          </w:p>
        </w:tc>
      </w:tr>
      <w:tr w:rsidR="00ED32C1" w:rsidTr="00793385">
        <w:tc>
          <w:tcPr>
            <w:tcW w:w="2235" w:type="dxa"/>
          </w:tcPr>
          <w:p w:rsidR="00ED32C1" w:rsidRPr="006D4AAD" w:rsidRDefault="00ED32C1" w:rsidP="006D4AAD">
            <w:pPr>
              <w:jc w:val="both"/>
              <w:rPr>
                <w:rFonts w:ascii="Verdana" w:hAnsi="Verdana"/>
              </w:rPr>
            </w:pPr>
            <w:r w:rsidRPr="006D4AAD">
              <w:rPr>
                <w:rFonts w:ascii="Verdana" w:hAnsi="Verdana"/>
              </w:rPr>
              <w:t xml:space="preserve">HbA1c </w:t>
            </w:r>
          </w:p>
        </w:tc>
        <w:tc>
          <w:tcPr>
            <w:tcW w:w="7654" w:type="dxa"/>
          </w:tcPr>
          <w:p w:rsidR="00ED32C1" w:rsidRPr="006D4AAD" w:rsidRDefault="00ED32C1" w:rsidP="006D4AAD">
            <w:pPr>
              <w:spacing w:after="60"/>
              <w:jc w:val="both"/>
              <w:rPr>
                <w:rFonts w:ascii="Verdana" w:hAnsi="Verdana"/>
              </w:rPr>
            </w:pPr>
            <w:r w:rsidRPr="006D4AAD">
              <w:rPr>
                <w:rFonts w:ascii="Verdana" w:hAnsi="Verdana"/>
              </w:rPr>
              <w:t xml:space="preserve">At commencement of treatment </w:t>
            </w:r>
          </w:p>
        </w:tc>
      </w:tr>
      <w:tr w:rsidR="00ED32C1" w:rsidTr="00793385">
        <w:tc>
          <w:tcPr>
            <w:tcW w:w="2235" w:type="dxa"/>
          </w:tcPr>
          <w:p w:rsidR="00ED32C1" w:rsidRPr="006D4AAD" w:rsidRDefault="00ED32C1" w:rsidP="006D4AAD">
            <w:pPr>
              <w:jc w:val="both"/>
              <w:rPr>
                <w:rFonts w:ascii="Verdana" w:hAnsi="Verdana"/>
              </w:rPr>
            </w:pPr>
            <w:r w:rsidRPr="006D4AAD">
              <w:rPr>
                <w:rFonts w:ascii="Verdana" w:hAnsi="Verdana"/>
              </w:rPr>
              <w:lastRenderedPageBreak/>
              <w:t xml:space="preserve">Random BGL </w:t>
            </w:r>
          </w:p>
        </w:tc>
        <w:tc>
          <w:tcPr>
            <w:tcW w:w="7654" w:type="dxa"/>
          </w:tcPr>
          <w:p w:rsidR="00ED32C1" w:rsidRPr="006D4AAD" w:rsidRDefault="00793385" w:rsidP="006D4AAD">
            <w:pPr>
              <w:spacing w:after="60"/>
              <w:jc w:val="both"/>
              <w:rPr>
                <w:rFonts w:ascii="Verdana" w:hAnsi="Verdana"/>
              </w:rPr>
            </w:pPr>
            <w:r w:rsidRPr="006D4AAD">
              <w:rPr>
                <w:rFonts w:ascii="Verdana" w:hAnsi="Verdana"/>
              </w:rPr>
              <w:t xml:space="preserve">At least weekly. </w:t>
            </w:r>
            <w:r w:rsidR="00F611D4" w:rsidRPr="006D4AAD">
              <w:rPr>
                <w:rFonts w:ascii="Verdana" w:hAnsi="Verdana"/>
              </w:rPr>
              <w:t>2 hours post lunch/meal</w:t>
            </w:r>
            <w:r w:rsidR="00885149">
              <w:rPr>
                <w:rFonts w:ascii="Verdana" w:hAnsi="Verdana"/>
              </w:rPr>
              <w:t xml:space="preserve"> is best</w:t>
            </w:r>
            <w:r w:rsidR="006D4AAD">
              <w:rPr>
                <w:rFonts w:ascii="Verdana" w:hAnsi="Verdana"/>
              </w:rPr>
              <w:t>.</w:t>
            </w:r>
          </w:p>
        </w:tc>
      </w:tr>
      <w:tr w:rsidR="00F611D4" w:rsidTr="00E948DE">
        <w:tc>
          <w:tcPr>
            <w:tcW w:w="9889" w:type="dxa"/>
            <w:gridSpan w:val="2"/>
          </w:tcPr>
          <w:p w:rsidR="00F611D4" w:rsidRDefault="00F611D4" w:rsidP="00E948DE">
            <w:pPr>
              <w:spacing w:line="276" w:lineRule="auto"/>
              <w:jc w:val="both"/>
              <w:rPr>
                <w:rFonts w:ascii="Verdana" w:hAnsi="Verdana"/>
                <w:b/>
              </w:rPr>
            </w:pPr>
            <w:r w:rsidRPr="00F611D4">
              <w:rPr>
                <w:rFonts w:ascii="Verdana" w:hAnsi="Verdana"/>
                <w:b/>
              </w:rPr>
              <w:t>Tips:</w:t>
            </w:r>
          </w:p>
          <w:p w:rsidR="00F611D4" w:rsidRDefault="00F611D4" w:rsidP="00E948DE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Treatment is advised if BGL &gt;12mmol/L on </w:t>
            </w:r>
            <w:r w:rsidR="006D4AAD">
              <w:rPr>
                <w:rFonts w:ascii="Verdana" w:hAnsi="Verdana"/>
              </w:rPr>
              <w:t xml:space="preserve">a </w:t>
            </w:r>
            <w:r>
              <w:rPr>
                <w:rFonts w:ascii="Verdana" w:hAnsi="Verdana"/>
              </w:rPr>
              <w:t>regular basis</w:t>
            </w:r>
            <w:r w:rsidR="006D4AAD">
              <w:rPr>
                <w:rFonts w:ascii="Verdana" w:hAnsi="Verdana"/>
              </w:rPr>
              <w:t>.</w:t>
            </w:r>
          </w:p>
          <w:p w:rsidR="0041543E" w:rsidRPr="006D4AAD" w:rsidRDefault="006D4AAD" w:rsidP="006D4AAD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Metformin is relatively contra-indicated due to its side effect profile and </w:t>
            </w:r>
            <w:r w:rsidR="00184CE7">
              <w:rPr>
                <w:rFonts w:ascii="Verdana" w:hAnsi="Verdana"/>
              </w:rPr>
              <w:t xml:space="preserve">the longer </w:t>
            </w:r>
            <w:r>
              <w:rPr>
                <w:rFonts w:ascii="Verdana" w:hAnsi="Verdana"/>
              </w:rPr>
              <w:t xml:space="preserve">duration to reach therapeutic levels. </w:t>
            </w:r>
            <w:proofErr w:type="spellStart"/>
            <w:r>
              <w:rPr>
                <w:rFonts w:ascii="Verdana" w:hAnsi="Verdana"/>
              </w:rPr>
              <w:t>Gliclazide</w:t>
            </w:r>
            <w:proofErr w:type="spellEnd"/>
            <w:r w:rsidR="00F611D4" w:rsidRPr="006D4AAD">
              <w:rPr>
                <w:rFonts w:ascii="Verdana" w:hAnsi="Verdana"/>
              </w:rPr>
              <w:t xml:space="preserve"> may be effective </w:t>
            </w:r>
            <w:r w:rsidR="0041543E" w:rsidRPr="006D4AAD">
              <w:rPr>
                <w:rFonts w:ascii="Verdana" w:hAnsi="Verdana"/>
              </w:rPr>
              <w:t>in treating mild cases of hyperglycaemia</w:t>
            </w:r>
            <w:r>
              <w:rPr>
                <w:rFonts w:ascii="Verdana" w:hAnsi="Verdana"/>
              </w:rPr>
              <w:t>.</w:t>
            </w:r>
          </w:p>
          <w:p w:rsidR="0041543E" w:rsidRDefault="00E0706F" w:rsidP="00E948DE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="0041543E">
              <w:rPr>
                <w:rFonts w:ascii="Verdana" w:hAnsi="Verdana"/>
              </w:rPr>
              <w:t xml:space="preserve">nsulin </w:t>
            </w:r>
            <w:r>
              <w:rPr>
                <w:rFonts w:ascii="Verdana" w:hAnsi="Verdana"/>
              </w:rPr>
              <w:t xml:space="preserve">therapy </w:t>
            </w:r>
            <w:r w:rsidR="0041543E">
              <w:rPr>
                <w:rFonts w:ascii="Verdana" w:hAnsi="Verdana"/>
              </w:rPr>
              <w:t>(</w:t>
            </w:r>
            <w:proofErr w:type="spellStart"/>
            <w:r w:rsidR="0041543E">
              <w:rPr>
                <w:rFonts w:ascii="Verdana" w:hAnsi="Verdana"/>
              </w:rPr>
              <w:t>eg</w:t>
            </w:r>
            <w:proofErr w:type="spellEnd"/>
            <w:r w:rsidR="0041543E">
              <w:rPr>
                <w:rFonts w:ascii="Verdana" w:hAnsi="Verdana"/>
              </w:rPr>
              <w:t xml:space="preserve">: </w:t>
            </w:r>
            <w:proofErr w:type="spellStart"/>
            <w:r w:rsidR="0041543E">
              <w:rPr>
                <w:rFonts w:ascii="Verdana" w:hAnsi="Verdana"/>
              </w:rPr>
              <w:t>NovoMix</w:t>
            </w:r>
            <w:proofErr w:type="spellEnd"/>
            <w:r w:rsidR="0041543E">
              <w:rPr>
                <w:rFonts w:ascii="Verdana" w:hAnsi="Verdana"/>
              </w:rPr>
              <w:t xml:space="preserve"> 30 at breakfast and lunch) is</w:t>
            </w:r>
            <w:r>
              <w:rPr>
                <w:rFonts w:ascii="Verdana" w:hAnsi="Verdana"/>
              </w:rPr>
              <w:t xml:space="preserve"> generally</w:t>
            </w:r>
            <w:r w:rsidR="0041543E">
              <w:rPr>
                <w:rFonts w:ascii="Verdana" w:hAnsi="Verdana"/>
              </w:rPr>
              <w:t xml:space="preserve"> </w:t>
            </w:r>
            <w:r w:rsidR="006D4AAD">
              <w:rPr>
                <w:rFonts w:ascii="Verdana" w:hAnsi="Verdana"/>
              </w:rPr>
              <w:t xml:space="preserve">the </w:t>
            </w:r>
            <w:r w:rsidR="0041543E">
              <w:rPr>
                <w:rFonts w:ascii="Verdana" w:hAnsi="Verdana"/>
              </w:rPr>
              <w:t>most effective</w:t>
            </w:r>
            <w:r w:rsidR="006D4AAD">
              <w:rPr>
                <w:rFonts w:ascii="Verdana" w:hAnsi="Verdana"/>
              </w:rPr>
              <w:t xml:space="preserve"> treatment</w:t>
            </w:r>
            <w:r>
              <w:rPr>
                <w:rFonts w:ascii="Verdana" w:hAnsi="Verdana"/>
              </w:rPr>
              <w:t xml:space="preserve">, </w:t>
            </w:r>
            <w:r w:rsidR="006D4AAD">
              <w:rPr>
                <w:rFonts w:ascii="Verdana" w:hAnsi="Verdana"/>
              </w:rPr>
              <w:t>it also</w:t>
            </w:r>
            <w:r w:rsidR="0041543E">
              <w:rPr>
                <w:rFonts w:ascii="Verdana" w:hAnsi="Verdana"/>
              </w:rPr>
              <w:t xml:space="preserve"> </w:t>
            </w:r>
            <w:r w:rsidR="006D4AAD">
              <w:rPr>
                <w:rFonts w:ascii="Verdana" w:hAnsi="Verdana"/>
              </w:rPr>
              <w:t>avoids</w:t>
            </w:r>
            <w:r w:rsidR="0041543E">
              <w:rPr>
                <w:rFonts w:ascii="Verdana" w:hAnsi="Verdana"/>
              </w:rPr>
              <w:t xml:space="preserve"> </w:t>
            </w:r>
            <w:r w:rsidR="006D4AAD">
              <w:rPr>
                <w:rFonts w:ascii="Verdana" w:hAnsi="Verdana"/>
              </w:rPr>
              <w:t xml:space="preserve">the </w:t>
            </w:r>
            <w:r w:rsidR="0041543E">
              <w:rPr>
                <w:rFonts w:ascii="Verdana" w:hAnsi="Verdana"/>
              </w:rPr>
              <w:t>risk of overnig</w:t>
            </w:r>
            <w:r w:rsidR="006D4AAD">
              <w:rPr>
                <w:rFonts w:ascii="Verdana" w:hAnsi="Verdana"/>
              </w:rPr>
              <w:t xml:space="preserve">ht hypoglycaemia </w:t>
            </w:r>
            <w:r w:rsidR="0041543E">
              <w:rPr>
                <w:rFonts w:ascii="Verdana" w:hAnsi="Verdana"/>
              </w:rPr>
              <w:t xml:space="preserve">with </w:t>
            </w:r>
            <w:proofErr w:type="spellStart"/>
            <w:r w:rsidR="006D4AAD">
              <w:rPr>
                <w:rFonts w:ascii="Verdana" w:hAnsi="Verdana"/>
              </w:rPr>
              <w:t>gliclazide</w:t>
            </w:r>
            <w:proofErr w:type="spellEnd"/>
            <w:r w:rsidR="0041543E">
              <w:rPr>
                <w:rFonts w:ascii="Verdana" w:hAnsi="Verdana"/>
              </w:rPr>
              <w:t>.</w:t>
            </w:r>
          </w:p>
          <w:p w:rsidR="00F611D4" w:rsidRPr="00B7278E" w:rsidRDefault="00962A2F" w:rsidP="00B7278E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="0041543E">
              <w:rPr>
                <w:rFonts w:ascii="Verdana" w:hAnsi="Verdana"/>
              </w:rPr>
              <w:t xml:space="preserve">rganise urgent appointment with a diabetes educator </w:t>
            </w:r>
            <w:r w:rsidR="00B7278E">
              <w:rPr>
                <w:rFonts w:ascii="Verdana" w:hAnsi="Verdana"/>
              </w:rPr>
              <w:t>if insulin therapy required.</w:t>
            </w:r>
          </w:p>
        </w:tc>
      </w:tr>
    </w:tbl>
    <w:p w:rsidR="00ED32C1" w:rsidRDefault="00ED32C1" w:rsidP="00830360">
      <w:pPr>
        <w:spacing w:after="0" w:line="240" w:lineRule="auto"/>
        <w:jc w:val="both"/>
        <w:rPr>
          <w:rFonts w:ascii="Verdana" w:hAnsi="Verdana"/>
        </w:rPr>
      </w:pPr>
    </w:p>
    <w:p w:rsidR="00830360" w:rsidRDefault="005D101F" w:rsidP="00982DDA">
      <w:pPr>
        <w:spacing w:after="60" w:line="240" w:lineRule="auto"/>
        <w:rPr>
          <w:rFonts w:ascii="Verdana" w:hAnsi="Verdana"/>
          <w:b/>
        </w:rPr>
      </w:pPr>
      <w:r w:rsidRPr="005D101F">
        <w:rPr>
          <w:rFonts w:ascii="Verdana" w:hAnsi="Verdana"/>
          <w:b/>
          <w:i/>
        </w:rPr>
        <w:t>P</w:t>
      </w:r>
      <w:r w:rsidR="005B52CA" w:rsidRPr="005B52CA">
        <w:rPr>
          <w:rFonts w:ascii="Verdana" w:hAnsi="Verdana"/>
          <w:b/>
          <w:i/>
        </w:rPr>
        <w:t xml:space="preserve">neumocystis </w:t>
      </w:r>
      <w:proofErr w:type="spellStart"/>
      <w:r w:rsidR="005B52CA" w:rsidRPr="005B52CA">
        <w:rPr>
          <w:rFonts w:ascii="Verdana" w:hAnsi="Verdana"/>
          <w:b/>
          <w:i/>
        </w:rPr>
        <w:t>jiroveci</w:t>
      </w:r>
      <w:proofErr w:type="spellEnd"/>
      <w:r w:rsidR="005B52CA">
        <w:rPr>
          <w:rFonts w:ascii="Verdana" w:hAnsi="Verdana"/>
          <w:b/>
        </w:rPr>
        <w:t xml:space="preserve"> pneumonia (PJP)</w:t>
      </w:r>
      <w:r w:rsidR="00830360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risk and </w:t>
      </w:r>
      <w:r w:rsidR="00830360">
        <w:rPr>
          <w:rFonts w:ascii="Verdana" w:hAnsi="Verdana"/>
          <w:b/>
        </w:rPr>
        <w:t>prophylaxis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82DDA" w:rsidTr="00982DDA">
        <w:tc>
          <w:tcPr>
            <w:tcW w:w="9854" w:type="dxa"/>
          </w:tcPr>
          <w:p w:rsidR="00982DDA" w:rsidRPr="00184CE7" w:rsidRDefault="00E0706F" w:rsidP="00885149">
            <w:pPr>
              <w:spacing w:after="60"/>
              <w:jc w:val="both"/>
              <w:rPr>
                <w:rFonts w:ascii="Verdana" w:hAnsi="Verdana" w:cs="Arial"/>
              </w:rPr>
            </w:pPr>
            <w:r w:rsidRPr="00184CE7">
              <w:rPr>
                <w:rFonts w:ascii="Verdana" w:hAnsi="Verdana" w:cs="Arial"/>
              </w:rPr>
              <w:t>P</w:t>
            </w:r>
            <w:r w:rsidR="00982DDA" w:rsidRPr="00184CE7">
              <w:rPr>
                <w:rFonts w:ascii="Verdana" w:hAnsi="Verdana" w:cs="Arial"/>
              </w:rPr>
              <w:t xml:space="preserve">rophylactic treatment </w:t>
            </w:r>
            <w:r w:rsidRPr="00184CE7">
              <w:rPr>
                <w:rFonts w:ascii="Verdana" w:hAnsi="Verdana" w:cs="Arial"/>
              </w:rPr>
              <w:t xml:space="preserve">is recommended for patients on </w:t>
            </w:r>
            <w:r w:rsidR="00982DDA" w:rsidRPr="00184CE7">
              <w:rPr>
                <w:rFonts w:ascii="Verdana" w:hAnsi="Verdana" w:cs="Arial"/>
              </w:rPr>
              <w:t xml:space="preserve">prednisolone </w:t>
            </w:r>
            <w:r w:rsidRPr="00184CE7">
              <w:rPr>
                <w:rFonts w:ascii="Verdana" w:hAnsi="Verdana" w:cs="Arial"/>
              </w:rPr>
              <w:t xml:space="preserve">&gt;4 weeks </w:t>
            </w:r>
            <w:r w:rsidR="00D60444" w:rsidRPr="00184CE7">
              <w:rPr>
                <w:rFonts w:ascii="Verdana" w:hAnsi="Verdana" w:cs="Arial"/>
              </w:rPr>
              <w:t>with</w:t>
            </w:r>
            <w:r w:rsidR="00982DDA" w:rsidRPr="00184CE7">
              <w:rPr>
                <w:rFonts w:ascii="Verdana" w:hAnsi="Verdana" w:cs="Arial"/>
              </w:rPr>
              <w:t xml:space="preserve"> average dose of </w:t>
            </w:r>
            <w:r w:rsidRPr="00184CE7">
              <w:rPr>
                <w:rFonts w:ascii="Verdana" w:hAnsi="Verdana" w:cs="Arial"/>
              </w:rPr>
              <w:t>&gt;</w:t>
            </w:r>
            <w:r w:rsidR="00982DDA" w:rsidRPr="00184CE7">
              <w:rPr>
                <w:rFonts w:ascii="Verdana" w:hAnsi="Verdana" w:cs="Arial"/>
              </w:rPr>
              <w:t xml:space="preserve">30mg/day. </w:t>
            </w:r>
          </w:p>
        </w:tc>
      </w:tr>
      <w:tr w:rsidR="00982DDA" w:rsidTr="00982DDA">
        <w:tc>
          <w:tcPr>
            <w:tcW w:w="9854" w:type="dxa"/>
          </w:tcPr>
          <w:p w:rsidR="00982DDA" w:rsidRDefault="00982DDA" w:rsidP="00BD61D8">
            <w:pPr>
              <w:spacing w:after="60" w:line="276" w:lineRule="auto"/>
              <w:rPr>
                <w:rFonts w:ascii="Verdana" w:hAnsi="Verdana" w:cs="Arial"/>
                <w:lang w:val="en"/>
              </w:rPr>
            </w:pPr>
            <w:proofErr w:type="spellStart"/>
            <w:r w:rsidRPr="00BD61D8">
              <w:rPr>
                <w:rFonts w:ascii="Verdana" w:hAnsi="Verdana" w:cs="Arial"/>
                <w:b/>
                <w:lang w:val="en"/>
              </w:rPr>
              <w:t>Trimethoprim+sulfamethoxazole</w:t>
            </w:r>
            <w:proofErr w:type="spellEnd"/>
            <w:r w:rsidRPr="00982DDA">
              <w:rPr>
                <w:rFonts w:ascii="Verdana" w:hAnsi="Verdana" w:cs="Arial"/>
                <w:lang w:val="en"/>
              </w:rPr>
              <w:t xml:space="preserve"> </w:t>
            </w:r>
            <w:proofErr w:type="gramStart"/>
            <w:r w:rsidRPr="00982DDA">
              <w:rPr>
                <w:rFonts w:ascii="Verdana" w:hAnsi="Verdana" w:cs="Arial"/>
                <w:lang w:val="en"/>
              </w:rPr>
              <w:t>is</w:t>
            </w:r>
            <w:proofErr w:type="gramEnd"/>
            <w:r w:rsidRPr="00982DDA">
              <w:rPr>
                <w:rFonts w:ascii="Verdana" w:hAnsi="Verdana" w:cs="Arial"/>
                <w:lang w:val="en"/>
              </w:rPr>
              <w:t xml:space="preserve"> the most ef</w:t>
            </w:r>
            <w:r w:rsidR="00BD61D8">
              <w:rPr>
                <w:rFonts w:ascii="Verdana" w:hAnsi="Verdana" w:cs="Arial"/>
                <w:lang w:val="en"/>
              </w:rPr>
              <w:t>fective prophylaxis</w:t>
            </w:r>
            <w:r w:rsidRPr="00982DDA">
              <w:rPr>
                <w:rFonts w:ascii="Verdana" w:hAnsi="Verdana" w:cs="Arial"/>
                <w:lang w:val="en"/>
              </w:rPr>
              <w:t xml:space="preserve"> unless contraindicated.</w:t>
            </w:r>
            <w:r w:rsidR="00BD61D8">
              <w:rPr>
                <w:rFonts w:ascii="Verdana" w:hAnsi="Verdana" w:cs="Arial"/>
                <w:lang w:val="en"/>
              </w:rPr>
              <w:t xml:space="preserve"> Recommended dose 160+800mg orally, 3 times weekly</w:t>
            </w:r>
            <w:r w:rsidR="00747CDA">
              <w:rPr>
                <w:rFonts w:ascii="Verdana" w:hAnsi="Verdana" w:cs="Arial"/>
                <w:lang w:val="en"/>
              </w:rPr>
              <w:t>.</w:t>
            </w:r>
          </w:p>
          <w:p w:rsidR="00F37213" w:rsidRDefault="00A26BB4" w:rsidP="00F37213">
            <w:pPr>
              <w:spacing w:after="60" w:line="276" w:lineRule="auto"/>
              <w:rPr>
                <w:rFonts w:ascii="Verdana" w:hAnsi="Verdana" w:cs="Arial"/>
                <w:lang w:val="en"/>
              </w:rPr>
            </w:pPr>
            <w:proofErr w:type="spellStart"/>
            <w:r>
              <w:rPr>
                <w:rFonts w:ascii="Verdana" w:hAnsi="Verdana" w:cs="Arial"/>
                <w:lang w:val="en"/>
              </w:rPr>
              <w:t>Paediatric</w:t>
            </w:r>
            <w:proofErr w:type="spellEnd"/>
            <w:r>
              <w:rPr>
                <w:rFonts w:ascii="Verdana" w:hAnsi="Verdana" w:cs="Arial"/>
                <w:lang w:val="en"/>
              </w:rPr>
              <w:t xml:space="preserve"> dosing of TMX-SMX: 2.5mg/kg/dose 12 hourly, 3 times weekly. </w:t>
            </w:r>
          </w:p>
          <w:p w:rsidR="00747CDA" w:rsidRPr="00F37213" w:rsidRDefault="00F37213" w:rsidP="00F37213">
            <w:pPr>
              <w:spacing w:after="60" w:line="276" w:lineRule="auto"/>
              <w:rPr>
                <w:rFonts w:ascii="Verdana" w:hAnsi="Verdana" w:cs="Arial"/>
                <w:lang w:val="en"/>
              </w:rPr>
            </w:pPr>
            <w:r>
              <w:rPr>
                <w:rFonts w:ascii="Verdana" w:hAnsi="Verdana" w:cs="Arial"/>
                <w:lang w:val="en"/>
              </w:rPr>
              <w:t xml:space="preserve">For use in pregnancy (category C) and patients with hypersensitivity, please contact Infectious Diseases for advice. </w:t>
            </w:r>
          </w:p>
        </w:tc>
      </w:tr>
      <w:tr w:rsidR="00982DDA" w:rsidTr="00982DDA">
        <w:tc>
          <w:tcPr>
            <w:tcW w:w="9854" w:type="dxa"/>
          </w:tcPr>
          <w:p w:rsidR="00982DDA" w:rsidRPr="00982DDA" w:rsidRDefault="00982DDA" w:rsidP="00E948DE">
            <w:pPr>
              <w:spacing w:after="60" w:line="276" w:lineRule="auto"/>
              <w:jc w:val="both"/>
              <w:rPr>
                <w:rFonts w:ascii="Verdana" w:hAnsi="Verdana" w:cs="Arial"/>
                <w:b/>
              </w:rPr>
            </w:pPr>
            <w:r w:rsidRPr="00982DDA">
              <w:rPr>
                <w:rFonts w:ascii="Verdana" w:hAnsi="Verdana" w:cs="Arial"/>
                <w:b/>
              </w:rPr>
              <w:t xml:space="preserve">Discontinued: </w:t>
            </w:r>
          </w:p>
          <w:p w:rsidR="00982DDA" w:rsidRDefault="00982DDA" w:rsidP="00E0706F">
            <w:pPr>
              <w:spacing w:after="60" w:line="276" w:lineRule="auto"/>
              <w:rPr>
                <w:rFonts w:ascii="Verdana" w:hAnsi="Verdana"/>
                <w:b/>
              </w:rPr>
            </w:pPr>
            <w:r w:rsidRPr="00982DDA">
              <w:rPr>
                <w:rFonts w:ascii="Verdana" w:hAnsi="Verdana"/>
              </w:rPr>
              <w:t xml:space="preserve">Prophylaxis should be discontinued when the dose of prednisolone has been tapered to </w:t>
            </w:r>
            <w:r w:rsidR="00E0706F">
              <w:rPr>
                <w:rFonts w:ascii="Verdana" w:hAnsi="Verdana"/>
              </w:rPr>
              <w:t>&lt;</w:t>
            </w:r>
            <w:r w:rsidRPr="00E0706F">
              <w:rPr>
                <w:rFonts w:ascii="Verdana" w:hAnsi="Verdana"/>
              </w:rPr>
              <w:t>15mg/day</w:t>
            </w:r>
            <w:r w:rsidRPr="00982DDA">
              <w:rPr>
                <w:rFonts w:ascii="Verdana" w:hAnsi="Verdana"/>
              </w:rPr>
              <w:t>.</w:t>
            </w:r>
          </w:p>
        </w:tc>
      </w:tr>
    </w:tbl>
    <w:p w:rsidR="00982DDA" w:rsidRDefault="00982DDA" w:rsidP="005B52CA">
      <w:pPr>
        <w:spacing w:after="0" w:line="240" w:lineRule="auto"/>
        <w:jc w:val="both"/>
        <w:rPr>
          <w:rFonts w:ascii="Verdana" w:hAnsi="Verdana" w:cs="Arial"/>
        </w:rPr>
      </w:pPr>
    </w:p>
    <w:p w:rsidR="005D101F" w:rsidRDefault="005D101F" w:rsidP="00830360">
      <w:pPr>
        <w:spacing w:after="0" w:line="240" w:lineRule="auto"/>
        <w:rPr>
          <w:rFonts w:ascii="Verdana" w:hAnsi="Verdana"/>
        </w:rPr>
      </w:pPr>
    </w:p>
    <w:p w:rsidR="005D101F" w:rsidRDefault="005D101F" w:rsidP="00830360">
      <w:pPr>
        <w:spacing w:after="0" w:line="240" w:lineRule="auto"/>
        <w:rPr>
          <w:rFonts w:ascii="Verdana" w:hAnsi="Verdana"/>
        </w:rPr>
      </w:pPr>
    </w:p>
    <w:p w:rsidR="00830360" w:rsidRPr="005D101F" w:rsidRDefault="005D101F" w:rsidP="00830360">
      <w:pPr>
        <w:spacing w:after="0" w:line="240" w:lineRule="auto"/>
        <w:rPr>
          <w:rFonts w:ascii="Verdana" w:hAnsi="Verdana"/>
          <w:b/>
        </w:rPr>
      </w:pPr>
      <w:r w:rsidRPr="005D101F">
        <w:rPr>
          <w:rFonts w:ascii="Verdana" w:hAnsi="Verdana"/>
          <w:b/>
        </w:rPr>
        <w:t>References</w:t>
      </w:r>
    </w:p>
    <w:p w:rsidR="00015277" w:rsidRDefault="00015277" w:rsidP="00BD61D8">
      <w:pPr>
        <w:autoSpaceDE w:val="0"/>
        <w:autoSpaceDN w:val="0"/>
        <w:adjustRightInd w:val="0"/>
        <w:spacing w:after="0" w:line="240" w:lineRule="auto"/>
        <w:rPr>
          <w:rFonts w:ascii="HelveticaNeueLTStd-Lt" w:eastAsia="HelveticaNeueLTStd-Lt" w:cs="HelveticaNeueLTStd-Lt"/>
          <w:sz w:val="15"/>
          <w:szCs w:val="15"/>
        </w:rPr>
      </w:pPr>
    </w:p>
    <w:p w:rsidR="00015277" w:rsidRPr="0087069B" w:rsidRDefault="00015277" w:rsidP="000152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eastAsia="HelveticaNeueLTStd-Lt" w:hAnsi="Verdana" w:cs="HelveticaNeueLTStd-Lt"/>
        </w:rPr>
      </w:pPr>
      <w:r w:rsidRPr="0087069B">
        <w:rPr>
          <w:rFonts w:ascii="Verdana" w:eastAsia="HelveticaNeueLTStd-Lt" w:hAnsi="Verdana" w:cs="HelveticaNeueLTStd-Lt"/>
        </w:rPr>
        <w:t xml:space="preserve">The Royal Australian College of General Practitioner and Osteoporosis Australia (2017). </w:t>
      </w:r>
      <w:r w:rsidRPr="0087069B">
        <w:rPr>
          <w:rFonts w:ascii="Verdana" w:eastAsia="HelveticaNeueLTStd-Lt" w:hAnsi="Verdana" w:cs="HelveticaNeueLTStd-Lt"/>
          <w:i/>
        </w:rPr>
        <w:t>Osteoporosis prevention, diagnosis and management in postmenopausal women and men over 50 years of age</w:t>
      </w:r>
      <w:r w:rsidRPr="0087069B">
        <w:rPr>
          <w:rFonts w:ascii="Verdana" w:eastAsia="HelveticaNeueLTStd-Lt" w:hAnsi="Verdana" w:cs="HelveticaNeueLTStd-Lt"/>
        </w:rPr>
        <w:t>. 2</w:t>
      </w:r>
      <w:r w:rsidRPr="0087069B">
        <w:rPr>
          <w:rFonts w:ascii="Verdana" w:eastAsia="HelveticaNeueLTStd-Lt" w:hAnsi="Verdana" w:cs="HelveticaNeueLTStd-Lt"/>
          <w:vertAlign w:val="superscript"/>
        </w:rPr>
        <w:t>nd</w:t>
      </w:r>
      <w:r w:rsidRPr="0087069B">
        <w:rPr>
          <w:rFonts w:ascii="Verdana" w:eastAsia="HelveticaNeueLTStd-Lt" w:hAnsi="Verdana" w:cs="HelveticaNeueLTStd-Lt"/>
        </w:rPr>
        <w:t xml:space="preserve"> ed. East Melbourne, VIC: RACGP</w:t>
      </w:r>
    </w:p>
    <w:p w:rsidR="00015277" w:rsidRPr="0087069B" w:rsidRDefault="00015277" w:rsidP="00015277">
      <w:pPr>
        <w:pStyle w:val="ListParagraph"/>
        <w:numPr>
          <w:ilvl w:val="0"/>
          <w:numId w:val="9"/>
        </w:numPr>
        <w:spacing w:after="0" w:line="240" w:lineRule="auto"/>
        <w:rPr>
          <w:rFonts w:ascii="Verdana" w:eastAsia="Times New Roman" w:hAnsi="Verdana" w:cs="Times New Roman"/>
          <w:color w:val="222222"/>
          <w:lang w:eastAsia="en-AU"/>
        </w:rPr>
      </w:pPr>
      <w:r w:rsidRPr="0087069B">
        <w:rPr>
          <w:rFonts w:ascii="Verdana" w:eastAsia="Times New Roman" w:hAnsi="Verdana" w:cs="Times New Roman"/>
          <w:color w:val="222222"/>
          <w:lang w:eastAsia="en-AU"/>
        </w:rPr>
        <w:t xml:space="preserve">Buckley, L., </w:t>
      </w:r>
      <w:proofErr w:type="spellStart"/>
      <w:r w:rsidRPr="0087069B">
        <w:rPr>
          <w:rFonts w:ascii="Verdana" w:eastAsia="Times New Roman" w:hAnsi="Verdana" w:cs="Times New Roman"/>
          <w:color w:val="222222"/>
          <w:lang w:eastAsia="en-AU"/>
        </w:rPr>
        <w:t>Guyatt</w:t>
      </w:r>
      <w:proofErr w:type="spellEnd"/>
      <w:r w:rsidRPr="0087069B">
        <w:rPr>
          <w:rFonts w:ascii="Verdana" w:eastAsia="Times New Roman" w:hAnsi="Verdana" w:cs="Times New Roman"/>
          <w:color w:val="222222"/>
          <w:lang w:eastAsia="en-AU"/>
        </w:rPr>
        <w:t>, G., Fink, H. A., Cannon, M., Grossman, J</w:t>
      </w:r>
      <w:r w:rsidR="00EA7955" w:rsidRPr="0087069B">
        <w:rPr>
          <w:rFonts w:ascii="Verdana" w:eastAsia="Times New Roman" w:hAnsi="Verdana" w:cs="Times New Roman"/>
          <w:color w:val="222222"/>
          <w:lang w:eastAsia="en-AU"/>
        </w:rPr>
        <w:t>., Hansen, K. E.</w:t>
      </w:r>
      <w:r w:rsidRPr="0087069B">
        <w:rPr>
          <w:rFonts w:ascii="Verdana" w:eastAsia="Times New Roman" w:hAnsi="Verdana" w:cs="Times New Roman"/>
          <w:color w:val="222222"/>
          <w:lang w:eastAsia="en-AU"/>
        </w:rPr>
        <w:t xml:space="preserve"> &amp; Morrison, L. (2017). 2017 American College of Rheumatology guideline for the prevention and treatment of glucocorticoid</w:t>
      </w:r>
      <w:r w:rsidRPr="0087069B">
        <w:rPr>
          <w:rFonts w:ascii="Cambria Math" w:eastAsia="Times New Roman" w:hAnsi="Cambria Math" w:cs="Cambria Math"/>
          <w:color w:val="222222"/>
          <w:lang w:eastAsia="en-AU"/>
        </w:rPr>
        <w:t>‐</w:t>
      </w:r>
      <w:r w:rsidRPr="0087069B">
        <w:rPr>
          <w:rFonts w:ascii="Verdana" w:eastAsia="Times New Roman" w:hAnsi="Verdana" w:cs="Times New Roman"/>
          <w:color w:val="222222"/>
          <w:lang w:eastAsia="en-AU"/>
        </w:rPr>
        <w:t xml:space="preserve">induced osteoporosis. </w:t>
      </w:r>
      <w:r w:rsidRPr="0087069B">
        <w:rPr>
          <w:rFonts w:ascii="Verdana" w:eastAsia="Times New Roman" w:hAnsi="Verdana" w:cs="Times New Roman"/>
          <w:i/>
          <w:iCs/>
          <w:color w:val="222222"/>
          <w:lang w:eastAsia="en-AU"/>
        </w:rPr>
        <w:t>Arthritis &amp; Rheumatology</w:t>
      </w:r>
      <w:r w:rsidRPr="0087069B">
        <w:rPr>
          <w:rFonts w:ascii="Verdana" w:eastAsia="Times New Roman" w:hAnsi="Verdana" w:cs="Times New Roman"/>
          <w:color w:val="222222"/>
          <w:lang w:eastAsia="en-AU"/>
        </w:rPr>
        <w:t xml:space="preserve">, </w:t>
      </w:r>
      <w:r w:rsidRPr="0087069B">
        <w:rPr>
          <w:rFonts w:ascii="Verdana" w:eastAsia="Times New Roman" w:hAnsi="Verdana" w:cs="Times New Roman"/>
          <w:i/>
          <w:iCs/>
          <w:color w:val="222222"/>
          <w:lang w:eastAsia="en-AU"/>
        </w:rPr>
        <w:t>69</w:t>
      </w:r>
      <w:r w:rsidRPr="0087069B">
        <w:rPr>
          <w:rFonts w:ascii="Verdana" w:eastAsia="Times New Roman" w:hAnsi="Verdana" w:cs="Times New Roman"/>
          <w:color w:val="222222"/>
          <w:lang w:eastAsia="en-AU"/>
        </w:rPr>
        <w:t>(8), 1521-1537.</w:t>
      </w:r>
    </w:p>
    <w:p w:rsidR="00015277" w:rsidRPr="0087069B" w:rsidRDefault="00EA7955" w:rsidP="000152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eastAsia="HelveticaNeueLTStd-Lt" w:hAnsi="Verdana" w:cs="HelveticaNeueLTStd-Lt"/>
        </w:rPr>
      </w:pPr>
      <w:r w:rsidRPr="0087069B">
        <w:rPr>
          <w:rFonts w:ascii="Verdana" w:hAnsi="Verdana"/>
        </w:rPr>
        <w:t>Roberts</w:t>
      </w:r>
      <w:r w:rsidR="00257896" w:rsidRPr="0087069B">
        <w:rPr>
          <w:rFonts w:ascii="Verdana" w:hAnsi="Verdana"/>
        </w:rPr>
        <w:t xml:space="preserve">, </w:t>
      </w:r>
      <w:r w:rsidRPr="0087069B">
        <w:rPr>
          <w:rFonts w:ascii="Verdana" w:hAnsi="Verdana"/>
        </w:rPr>
        <w:t>A</w:t>
      </w:r>
      <w:r w:rsidR="00257896" w:rsidRPr="0087069B">
        <w:rPr>
          <w:rFonts w:ascii="Verdana" w:hAnsi="Verdana"/>
        </w:rPr>
        <w:t>.</w:t>
      </w:r>
      <w:r w:rsidRPr="0087069B">
        <w:rPr>
          <w:rFonts w:ascii="Verdana" w:hAnsi="Verdana"/>
        </w:rPr>
        <w:t>,</w:t>
      </w:r>
      <w:r w:rsidR="00257896" w:rsidRPr="0087069B">
        <w:rPr>
          <w:rFonts w:ascii="Verdana" w:hAnsi="Verdana"/>
        </w:rPr>
        <w:t xml:space="preserve"> </w:t>
      </w:r>
      <w:r w:rsidRPr="0087069B">
        <w:rPr>
          <w:rFonts w:ascii="Verdana" w:hAnsi="Verdana"/>
        </w:rPr>
        <w:t xml:space="preserve"> James</w:t>
      </w:r>
      <w:r w:rsidR="00257896" w:rsidRPr="0087069B">
        <w:rPr>
          <w:rFonts w:ascii="Verdana" w:hAnsi="Verdana"/>
        </w:rPr>
        <w:t xml:space="preserve">, </w:t>
      </w:r>
      <w:r w:rsidRPr="0087069B">
        <w:rPr>
          <w:rFonts w:ascii="Verdana" w:hAnsi="Verdana"/>
        </w:rPr>
        <w:t xml:space="preserve"> J</w:t>
      </w:r>
      <w:r w:rsidR="00257896" w:rsidRPr="0087069B">
        <w:rPr>
          <w:rFonts w:ascii="Verdana" w:hAnsi="Verdana"/>
        </w:rPr>
        <w:t xml:space="preserve"> &amp;</w:t>
      </w:r>
      <w:r w:rsidRPr="0087069B">
        <w:rPr>
          <w:rFonts w:ascii="Verdana" w:hAnsi="Verdana"/>
        </w:rPr>
        <w:t xml:space="preserve"> </w:t>
      </w:r>
      <w:proofErr w:type="spellStart"/>
      <w:r w:rsidRPr="0087069B">
        <w:rPr>
          <w:rFonts w:ascii="Verdana" w:hAnsi="Verdana"/>
        </w:rPr>
        <w:t>Dhatariya</w:t>
      </w:r>
      <w:proofErr w:type="spellEnd"/>
      <w:r w:rsidR="00257896" w:rsidRPr="0087069B">
        <w:rPr>
          <w:rFonts w:ascii="Verdana" w:hAnsi="Verdana"/>
        </w:rPr>
        <w:t>,</w:t>
      </w:r>
      <w:r w:rsidRPr="0087069B">
        <w:rPr>
          <w:rFonts w:ascii="Verdana" w:hAnsi="Verdana"/>
        </w:rPr>
        <w:t xml:space="preserve"> K. </w:t>
      </w:r>
      <w:r w:rsidR="00257896" w:rsidRPr="0087069B">
        <w:rPr>
          <w:rFonts w:ascii="Verdana" w:hAnsi="Verdana"/>
        </w:rPr>
        <w:t xml:space="preserve">(2018). </w:t>
      </w:r>
      <w:r w:rsidRPr="0087069B">
        <w:rPr>
          <w:rFonts w:ascii="Verdana" w:hAnsi="Verdana"/>
        </w:rPr>
        <w:t>Diabetes UK P</w:t>
      </w:r>
      <w:r w:rsidR="00257896" w:rsidRPr="0087069B">
        <w:rPr>
          <w:rFonts w:ascii="Verdana" w:hAnsi="Verdana"/>
        </w:rPr>
        <w:t xml:space="preserve">osition Statement Management of </w:t>
      </w:r>
      <w:r w:rsidRPr="0087069B">
        <w:rPr>
          <w:rFonts w:ascii="Verdana" w:hAnsi="Verdana"/>
        </w:rPr>
        <w:t xml:space="preserve">hyperglycaemia </w:t>
      </w:r>
      <w:r w:rsidR="0087069B" w:rsidRPr="0087069B">
        <w:rPr>
          <w:rFonts w:ascii="Verdana" w:hAnsi="Verdana"/>
        </w:rPr>
        <w:t>and steroid (</w:t>
      </w:r>
      <w:r w:rsidRPr="0087069B">
        <w:rPr>
          <w:rFonts w:ascii="Verdana" w:hAnsi="Verdana"/>
        </w:rPr>
        <w:t>glucocorticoid) therapy: a guideline from Joint British Diabetes Socie</w:t>
      </w:r>
      <w:r w:rsidR="00257896" w:rsidRPr="0087069B">
        <w:rPr>
          <w:rFonts w:ascii="Verdana" w:hAnsi="Verdana"/>
        </w:rPr>
        <w:t>ties (JBDS) for Inpatient Care G</w:t>
      </w:r>
      <w:r w:rsidRPr="0087069B">
        <w:rPr>
          <w:rFonts w:ascii="Verdana" w:hAnsi="Verdana"/>
        </w:rPr>
        <w:t>roup</w:t>
      </w:r>
      <w:r w:rsidR="00257896" w:rsidRPr="0087069B">
        <w:rPr>
          <w:rFonts w:ascii="Verdana" w:hAnsi="Verdana"/>
        </w:rPr>
        <w:t>.</w:t>
      </w:r>
      <w:r w:rsidRPr="0087069B">
        <w:rPr>
          <w:rFonts w:ascii="Verdana" w:hAnsi="Verdana"/>
        </w:rPr>
        <w:t xml:space="preserve"> </w:t>
      </w:r>
      <w:r w:rsidRPr="0087069B">
        <w:rPr>
          <w:rFonts w:ascii="Verdana" w:hAnsi="Verdana"/>
          <w:i/>
        </w:rPr>
        <w:t>Diabetic Medicine</w:t>
      </w:r>
      <w:r w:rsidR="00257896" w:rsidRPr="0087069B">
        <w:rPr>
          <w:rFonts w:ascii="Verdana" w:hAnsi="Verdana"/>
        </w:rPr>
        <w:t>, 35(</w:t>
      </w:r>
      <w:r w:rsidRPr="0087069B">
        <w:rPr>
          <w:rFonts w:ascii="Verdana" w:hAnsi="Verdana"/>
        </w:rPr>
        <w:t>8</w:t>
      </w:r>
      <w:r w:rsidR="00257896" w:rsidRPr="0087069B">
        <w:rPr>
          <w:rFonts w:ascii="Verdana" w:hAnsi="Verdana"/>
        </w:rPr>
        <w:t>), 1011-1017</w:t>
      </w:r>
    </w:p>
    <w:p w:rsidR="00015277" w:rsidRPr="005E357C" w:rsidRDefault="00257896" w:rsidP="00BD61D8">
      <w:pPr>
        <w:pStyle w:val="ListParagraph"/>
        <w:numPr>
          <w:ilvl w:val="0"/>
          <w:numId w:val="9"/>
        </w:numPr>
        <w:spacing w:after="525" w:line="240" w:lineRule="auto"/>
        <w:rPr>
          <w:rFonts w:ascii="Verdana" w:eastAsia="Times New Roman" w:hAnsi="Verdana" w:cs="Arial"/>
          <w:color w:val="333333"/>
          <w:lang w:val="en" w:eastAsia="en-AU"/>
        </w:rPr>
      </w:pPr>
      <w:r w:rsidRPr="0087069B">
        <w:rPr>
          <w:rFonts w:ascii="Verdana" w:eastAsia="Times New Roman" w:hAnsi="Verdana" w:cs="Arial"/>
          <w:color w:val="333333"/>
          <w:lang w:val="en" w:eastAsia="en-AU"/>
        </w:rPr>
        <w:t>Winthrop</w:t>
      </w:r>
      <w:r w:rsidR="0087069B" w:rsidRPr="0087069B">
        <w:rPr>
          <w:rFonts w:ascii="Verdana" w:eastAsia="Times New Roman" w:hAnsi="Verdana" w:cs="Arial"/>
          <w:color w:val="333333"/>
          <w:lang w:val="en" w:eastAsia="en-AU"/>
        </w:rPr>
        <w:t>,</w:t>
      </w:r>
      <w:r w:rsidRPr="0087069B">
        <w:rPr>
          <w:rFonts w:ascii="Verdana" w:eastAsia="Times New Roman" w:hAnsi="Verdana" w:cs="Arial"/>
          <w:color w:val="333333"/>
          <w:lang w:val="en" w:eastAsia="en-AU"/>
        </w:rPr>
        <w:t xml:space="preserve"> K</w:t>
      </w:r>
      <w:r w:rsidR="0087069B" w:rsidRPr="0087069B">
        <w:rPr>
          <w:rFonts w:ascii="Verdana" w:eastAsia="Times New Roman" w:hAnsi="Verdana" w:cs="Arial"/>
          <w:color w:val="333333"/>
          <w:lang w:val="en" w:eastAsia="en-AU"/>
        </w:rPr>
        <w:t>.</w:t>
      </w:r>
      <w:r w:rsidRPr="0087069B">
        <w:rPr>
          <w:rFonts w:ascii="Verdana" w:eastAsia="Times New Roman" w:hAnsi="Verdana" w:cs="Arial"/>
          <w:color w:val="333333"/>
          <w:lang w:val="en" w:eastAsia="en-AU"/>
        </w:rPr>
        <w:t>L</w:t>
      </w:r>
      <w:r w:rsidR="0087069B" w:rsidRPr="0087069B">
        <w:rPr>
          <w:rFonts w:ascii="Verdana" w:eastAsia="Times New Roman" w:hAnsi="Verdana" w:cs="Arial"/>
          <w:color w:val="333333"/>
          <w:lang w:val="en" w:eastAsia="en-AU"/>
        </w:rPr>
        <w:t xml:space="preserve"> &amp;</w:t>
      </w:r>
      <w:r w:rsidRPr="0087069B">
        <w:rPr>
          <w:rFonts w:ascii="Verdana" w:eastAsia="Times New Roman" w:hAnsi="Verdana" w:cs="Arial"/>
          <w:color w:val="333333"/>
          <w:lang w:val="en" w:eastAsia="en-AU"/>
        </w:rPr>
        <w:t xml:space="preserve"> </w:t>
      </w:r>
      <w:proofErr w:type="spellStart"/>
      <w:r w:rsidRPr="0087069B">
        <w:rPr>
          <w:rFonts w:ascii="Verdana" w:eastAsia="Times New Roman" w:hAnsi="Verdana" w:cs="Arial"/>
          <w:color w:val="333333"/>
          <w:lang w:val="en" w:eastAsia="en-AU"/>
        </w:rPr>
        <w:t>Baddley</w:t>
      </w:r>
      <w:proofErr w:type="spellEnd"/>
      <w:r w:rsidR="0087069B" w:rsidRPr="0087069B">
        <w:rPr>
          <w:rFonts w:ascii="Verdana" w:eastAsia="Times New Roman" w:hAnsi="Verdana" w:cs="Arial"/>
          <w:color w:val="333333"/>
          <w:lang w:val="en" w:eastAsia="en-AU"/>
        </w:rPr>
        <w:t>,</w:t>
      </w:r>
      <w:r w:rsidRPr="0087069B">
        <w:rPr>
          <w:rFonts w:ascii="Verdana" w:eastAsia="Times New Roman" w:hAnsi="Verdana" w:cs="Arial"/>
          <w:color w:val="333333"/>
          <w:lang w:val="en" w:eastAsia="en-AU"/>
        </w:rPr>
        <w:t xml:space="preserve"> J</w:t>
      </w:r>
      <w:r w:rsidR="0087069B" w:rsidRPr="0087069B">
        <w:rPr>
          <w:rFonts w:ascii="Verdana" w:eastAsia="Times New Roman" w:hAnsi="Verdana" w:cs="Arial"/>
          <w:color w:val="333333"/>
          <w:lang w:val="en" w:eastAsia="en-AU"/>
        </w:rPr>
        <w:t>.</w:t>
      </w:r>
      <w:r w:rsidRPr="0087069B">
        <w:rPr>
          <w:rFonts w:ascii="Verdana" w:eastAsia="Times New Roman" w:hAnsi="Verdana" w:cs="Arial"/>
          <w:color w:val="333333"/>
          <w:lang w:val="en" w:eastAsia="en-AU"/>
        </w:rPr>
        <w:t>W</w:t>
      </w:r>
      <w:r w:rsidR="0087069B" w:rsidRPr="0087069B">
        <w:rPr>
          <w:rFonts w:ascii="Verdana" w:eastAsia="Times New Roman" w:hAnsi="Verdana" w:cs="Arial"/>
          <w:color w:val="333333"/>
          <w:lang w:val="en" w:eastAsia="en-AU"/>
        </w:rPr>
        <w:t xml:space="preserve">. (2018). </w:t>
      </w:r>
      <w:r w:rsidRPr="0087069B">
        <w:rPr>
          <w:rFonts w:ascii="Verdana" w:eastAsia="Times New Roman" w:hAnsi="Verdana" w:cs="Arial"/>
          <w:color w:val="333333"/>
          <w:lang w:val="en" w:eastAsia="en-AU"/>
        </w:rPr>
        <w:t xml:space="preserve">Pneumocystis and glucocorticoid use: to </w:t>
      </w:r>
      <w:proofErr w:type="spellStart"/>
      <w:r w:rsidRPr="0087069B">
        <w:rPr>
          <w:rFonts w:ascii="Verdana" w:eastAsia="Times New Roman" w:hAnsi="Verdana" w:cs="Arial"/>
          <w:color w:val="333333"/>
          <w:lang w:val="en" w:eastAsia="en-AU"/>
        </w:rPr>
        <w:t>prophylax</w:t>
      </w:r>
      <w:proofErr w:type="spellEnd"/>
      <w:r w:rsidRPr="0087069B">
        <w:rPr>
          <w:rFonts w:ascii="Verdana" w:eastAsia="Times New Roman" w:hAnsi="Verdana" w:cs="Arial"/>
          <w:color w:val="333333"/>
          <w:lang w:val="en" w:eastAsia="en-AU"/>
        </w:rPr>
        <w:t xml:space="preserve"> or not to </w:t>
      </w:r>
      <w:proofErr w:type="spellStart"/>
      <w:r w:rsidRPr="0087069B">
        <w:rPr>
          <w:rFonts w:ascii="Verdana" w:eastAsia="Times New Roman" w:hAnsi="Verdana" w:cs="Arial"/>
          <w:color w:val="333333"/>
          <w:lang w:val="en" w:eastAsia="en-AU"/>
        </w:rPr>
        <w:t>prophylax</w:t>
      </w:r>
      <w:proofErr w:type="spellEnd"/>
      <w:r w:rsidRPr="0087069B">
        <w:rPr>
          <w:rFonts w:ascii="Verdana" w:eastAsia="Times New Roman" w:hAnsi="Verdana" w:cs="Arial"/>
          <w:color w:val="333333"/>
          <w:lang w:val="en" w:eastAsia="en-AU"/>
        </w:rPr>
        <w:t xml:space="preserve"> (</w:t>
      </w:r>
      <w:r w:rsidR="0087069B" w:rsidRPr="0087069B">
        <w:rPr>
          <w:rFonts w:ascii="Verdana" w:eastAsia="Times New Roman" w:hAnsi="Verdana" w:cs="Arial"/>
          <w:color w:val="333333"/>
          <w:lang w:val="en" w:eastAsia="en-AU"/>
        </w:rPr>
        <w:t xml:space="preserve">and when?); that is the question. </w:t>
      </w:r>
      <w:r w:rsidRPr="0087069B">
        <w:rPr>
          <w:rFonts w:ascii="Verdana" w:eastAsia="Times New Roman" w:hAnsi="Verdana" w:cs="Arial"/>
          <w:i/>
          <w:color w:val="333333"/>
          <w:lang w:val="en" w:eastAsia="en-AU"/>
        </w:rPr>
        <w:t>Annals of the Rheumatic Diseases</w:t>
      </w:r>
      <w:r w:rsidR="0087069B" w:rsidRPr="0087069B">
        <w:rPr>
          <w:rFonts w:ascii="Verdana" w:eastAsia="Times New Roman" w:hAnsi="Verdana" w:cs="Arial"/>
          <w:color w:val="333333"/>
          <w:lang w:val="en" w:eastAsia="en-AU"/>
        </w:rPr>
        <w:t xml:space="preserve">, 77, </w:t>
      </w:r>
      <w:r w:rsidRPr="0087069B">
        <w:rPr>
          <w:rFonts w:ascii="Verdana" w:eastAsia="Times New Roman" w:hAnsi="Verdana" w:cs="Arial"/>
          <w:color w:val="333333"/>
          <w:lang w:val="en" w:eastAsia="en-AU"/>
        </w:rPr>
        <w:t xml:space="preserve">631-633. </w:t>
      </w:r>
    </w:p>
    <w:sectPr w:rsidR="00015277" w:rsidRPr="005E357C" w:rsidSect="00F611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58" w:rsidRDefault="00A42858" w:rsidP="00A42858">
      <w:pPr>
        <w:spacing w:after="0" w:line="240" w:lineRule="auto"/>
      </w:pPr>
      <w:r>
        <w:separator/>
      </w:r>
    </w:p>
  </w:endnote>
  <w:endnote w:type="continuationSeparator" w:id="0">
    <w:p w:rsidR="00A42858" w:rsidRDefault="00A42858" w:rsidP="00A4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Std-L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58" w:rsidRDefault="00A428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58" w:rsidRDefault="00A428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58" w:rsidRDefault="00A42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58" w:rsidRDefault="00A42858" w:rsidP="00A42858">
      <w:pPr>
        <w:spacing w:after="0" w:line="240" w:lineRule="auto"/>
      </w:pPr>
      <w:r>
        <w:separator/>
      </w:r>
    </w:p>
  </w:footnote>
  <w:footnote w:type="continuationSeparator" w:id="0">
    <w:p w:rsidR="00A42858" w:rsidRDefault="00A42858" w:rsidP="00A42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58" w:rsidRDefault="00A428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58" w:rsidRDefault="00A428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58" w:rsidRDefault="00A428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6C9A"/>
    <w:multiLevelType w:val="hybridMultilevel"/>
    <w:tmpl w:val="4D32D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C1E0F"/>
    <w:multiLevelType w:val="hybridMultilevel"/>
    <w:tmpl w:val="0F10374A"/>
    <w:lvl w:ilvl="0" w:tplc="B41653F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3E5A58"/>
    <w:multiLevelType w:val="hybridMultilevel"/>
    <w:tmpl w:val="4B6E0FA0"/>
    <w:lvl w:ilvl="0" w:tplc="B41653F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660CE9"/>
    <w:multiLevelType w:val="hybridMultilevel"/>
    <w:tmpl w:val="E4540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969E6"/>
    <w:multiLevelType w:val="hybridMultilevel"/>
    <w:tmpl w:val="E4287CEE"/>
    <w:lvl w:ilvl="0" w:tplc="B41653F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430F5A"/>
    <w:multiLevelType w:val="hybridMultilevel"/>
    <w:tmpl w:val="894CA140"/>
    <w:lvl w:ilvl="0" w:tplc="B41653F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041AD4"/>
    <w:multiLevelType w:val="hybridMultilevel"/>
    <w:tmpl w:val="3EFA7656"/>
    <w:lvl w:ilvl="0" w:tplc="B41653F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100604"/>
    <w:multiLevelType w:val="hybridMultilevel"/>
    <w:tmpl w:val="1D1AD136"/>
    <w:lvl w:ilvl="0" w:tplc="B41653F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76738C"/>
    <w:multiLevelType w:val="hybridMultilevel"/>
    <w:tmpl w:val="3DDA3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96281"/>
    <w:multiLevelType w:val="hybridMultilevel"/>
    <w:tmpl w:val="E74C143A"/>
    <w:lvl w:ilvl="0" w:tplc="6F8CDFE4">
      <w:numFmt w:val="bullet"/>
      <w:lvlText w:val="-"/>
      <w:lvlJc w:val="left"/>
      <w:pPr>
        <w:ind w:left="720" w:hanging="360"/>
      </w:pPr>
      <w:rPr>
        <w:rFonts w:ascii="Verdana" w:eastAsia="HelveticaNeueLTStd-Lt" w:hAnsi="Verdana" w:cs="HelveticaNeueLTStd-L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61E42"/>
    <w:multiLevelType w:val="hybridMultilevel"/>
    <w:tmpl w:val="E37CB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60"/>
    <w:rsid w:val="00015277"/>
    <w:rsid w:val="00184CE7"/>
    <w:rsid w:val="0025518D"/>
    <w:rsid w:val="00257896"/>
    <w:rsid w:val="003105E0"/>
    <w:rsid w:val="003621FE"/>
    <w:rsid w:val="00363A40"/>
    <w:rsid w:val="00395F4A"/>
    <w:rsid w:val="003E2059"/>
    <w:rsid w:val="003E7C28"/>
    <w:rsid w:val="0041543E"/>
    <w:rsid w:val="00471313"/>
    <w:rsid w:val="00485605"/>
    <w:rsid w:val="004923D4"/>
    <w:rsid w:val="004C3CA4"/>
    <w:rsid w:val="005205C3"/>
    <w:rsid w:val="005B52CA"/>
    <w:rsid w:val="005D101F"/>
    <w:rsid w:val="005E357C"/>
    <w:rsid w:val="006439AD"/>
    <w:rsid w:val="00691826"/>
    <w:rsid w:val="006D4AAD"/>
    <w:rsid w:val="00701AC6"/>
    <w:rsid w:val="00747CDA"/>
    <w:rsid w:val="00793385"/>
    <w:rsid w:val="007C1B8D"/>
    <w:rsid w:val="007D3822"/>
    <w:rsid w:val="00830360"/>
    <w:rsid w:val="00860E55"/>
    <w:rsid w:val="0087069B"/>
    <w:rsid w:val="00885149"/>
    <w:rsid w:val="00954D7E"/>
    <w:rsid w:val="0096029C"/>
    <w:rsid w:val="00962A2F"/>
    <w:rsid w:val="0097787F"/>
    <w:rsid w:val="00982DDA"/>
    <w:rsid w:val="00A26BB4"/>
    <w:rsid w:val="00A42858"/>
    <w:rsid w:val="00B7278E"/>
    <w:rsid w:val="00BD61D8"/>
    <w:rsid w:val="00C1762C"/>
    <w:rsid w:val="00CF20D7"/>
    <w:rsid w:val="00D60444"/>
    <w:rsid w:val="00D915C4"/>
    <w:rsid w:val="00DA2E93"/>
    <w:rsid w:val="00DB0496"/>
    <w:rsid w:val="00DE19BA"/>
    <w:rsid w:val="00DF3840"/>
    <w:rsid w:val="00E0706F"/>
    <w:rsid w:val="00E75F9E"/>
    <w:rsid w:val="00E948DE"/>
    <w:rsid w:val="00EA5D9E"/>
    <w:rsid w:val="00EA7955"/>
    <w:rsid w:val="00ED32C1"/>
    <w:rsid w:val="00F37213"/>
    <w:rsid w:val="00F6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87F"/>
    <w:pPr>
      <w:ind w:left="720"/>
      <w:contextualSpacing/>
    </w:pPr>
  </w:style>
  <w:style w:type="table" w:styleId="TableGrid">
    <w:name w:val="Table Grid"/>
    <w:basedOn w:val="TableNormal"/>
    <w:uiPriority w:val="59"/>
    <w:rsid w:val="007D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wire-citation-authors">
    <w:name w:val="highwire-citation-authors"/>
    <w:basedOn w:val="DefaultParagraphFont"/>
    <w:rsid w:val="00257896"/>
  </w:style>
  <w:style w:type="character" w:customStyle="1" w:styleId="highwire-citation-author4">
    <w:name w:val="highwire-citation-author4"/>
    <w:basedOn w:val="DefaultParagraphFont"/>
    <w:rsid w:val="00257896"/>
  </w:style>
  <w:style w:type="character" w:customStyle="1" w:styleId="nlm-surname">
    <w:name w:val="nlm-surname"/>
    <w:basedOn w:val="DefaultParagraphFont"/>
    <w:rsid w:val="00257896"/>
  </w:style>
  <w:style w:type="character" w:customStyle="1" w:styleId="highwire-cite-metadata-journal2">
    <w:name w:val="highwire-cite-metadata-journal2"/>
    <w:basedOn w:val="DefaultParagraphFont"/>
    <w:rsid w:val="00257896"/>
  </w:style>
  <w:style w:type="character" w:customStyle="1" w:styleId="highwire-cite-metadata-year">
    <w:name w:val="highwire-cite-metadata-year"/>
    <w:basedOn w:val="DefaultParagraphFont"/>
    <w:rsid w:val="00257896"/>
  </w:style>
  <w:style w:type="character" w:customStyle="1" w:styleId="highwire-cite-metadata-volume2">
    <w:name w:val="highwire-cite-metadata-volume2"/>
    <w:basedOn w:val="DefaultParagraphFont"/>
    <w:rsid w:val="00257896"/>
  </w:style>
  <w:style w:type="character" w:customStyle="1" w:styleId="highwire-cite-metadata-pages">
    <w:name w:val="highwire-cite-metadata-pages"/>
    <w:basedOn w:val="DefaultParagraphFont"/>
    <w:rsid w:val="00257896"/>
  </w:style>
  <w:style w:type="paragraph" w:styleId="Header">
    <w:name w:val="header"/>
    <w:basedOn w:val="Normal"/>
    <w:link w:val="HeaderChar"/>
    <w:uiPriority w:val="99"/>
    <w:unhideWhenUsed/>
    <w:rsid w:val="00A42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858"/>
  </w:style>
  <w:style w:type="paragraph" w:styleId="Footer">
    <w:name w:val="footer"/>
    <w:basedOn w:val="Normal"/>
    <w:link w:val="FooterChar"/>
    <w:uiPriority w:val="99"/>
    <w:unhideWhenUsed/>
    <w:rsid w:val="00A42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87F"/>
    <w:pPr>
      <w:ind w:left="720"/>
      <w:contextualSpacing/>
    </w:pPr>
  </w:style>
  <w:style w:type="table" w:styleId="TableGrid">
    <w:name w:val="Table Grid"/>
    <w:basedOn w:val="TableNormal"/>
    <w:uiPriority w:val="59"/>
    <w:rsid w:val="007D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wire-citation-authors">
    <w:name w:val="highwire-citation-authors"/>
    <w:basedOn w:val="DefaultParagraphFont"/>
    <w:rsid w:val="00257896"/>
  </w:style>
  <w:style w:type="character" w:customStyle="1" w:styleId="highwire-citation-author4">
    <w:name w:val="highwire-citation-author4"/>
    <w:basedOn w:val="DefaultParagraphFont"/>
    <w:rsid w:val="00257896"/>
  </w:style>
  <w:style w:type="character" w:customStyle="1" w:styleId="nlm-surname">
    <w:name w:val="nlm-surname"/>
    <w:basedOn w:val="DefaultParagraphFont"/>
    <w:rsid w:val="00257896"/>
  </w:style>
  <w:style w:type="character" w:customStyle="1" w:styleId="highwire-cite-metadata-journal2">
    <w:name w:val="highwire-cite-metadata-journal2"/>
    <w:basedOn w:val="DefaultParagraphFont"/>
    <w:rsid w:val="00257896"/>
  </w:style>
  <w:style w:type="character" w:customStyle="1" w:styleId="highwire-cite-metadata-year">
    <w:name w:val="highwire-cite-metadata-year"/>
    <w:basedOn w:val="DefaultParagraphFont"/>
    <w:rsid w:val="00257896"/>
  </w:style>
  <w:style w:type="character" w:customStyle="1" w:styleId="highwire-cite-metadata-volume2">
    <w:name w:val="highwire-cite-metadata-volume2"/>
    <w:basedOn w:val="DefaultParagraphFont"/>
    <w:rsid w:val="00257896"/>
  </w:style>
  <w:style w:type="character" w:customStyle="1" w:styleId="highwire-cite-metadata-pages">
    <w:name w:val="highwire-cite-metadata-pages"/>
    <w:basedOn w:val="DefaultParagraphFont"/>
    <w:rsid w:val="00257896"/>
  </w:style>
  <w:style w:type="paragraph" w:styleId="Header">
    <w:name w:val="header"/>
    <w:basedOn w:val="Normal"/>
    <w:link w:val="HeaderChar"/>
    <w:uiPriority w:val="99"/>
    <w:unhideWhenUsed/>
    <w:rsid w:val="00A42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858"/>
  </w:style>
  <w:style w:type="paragraph" w:styleId="Footer">
    <w:name w:val="footer"/>
    <w:basedOn w:val="Normal"/>
    <w:link w:val="FooterChar"/>
    <w:uiPriority w:val="99"/>
    <w:unhideWhenUsed/>
    <w:rsid w:val="00A42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9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5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1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9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0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70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7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5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21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66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619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38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584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72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922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801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447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557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064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5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571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80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684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6140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378193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498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732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19222-B679-4F68-B552-EA128849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rveeh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2019-04-18T00:06:00Z</cp:lastPrinted>
  <dcterms:created xsi:type="dcterms:W3CDTF">2019-05-09T08:29:00Z</dcterms:created>
  <dcterms:modified xsi:type="dcterms:W3CDTF">2019-05-10T00:35:00Z</dcterms:modified>
</cp:coreProperties>
</file>