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19C2" w14:textId="1739DE89" w:rsidR="00B7168D" w:rsidRPr="0017278E" w:rsidRDefault="00224AA1" w:rsidP="004D6D19">
      <w:pPr>
        <w:pStyle w:val="Heading1"/>
        <w:spacing w:before="0" w:line="360" w:lineRule="auto"/>
        <w:jc w:val="center"/>
      </w:pPr>
      <w:r w:rsidRPr="0017278E">
        <w:t>E</w:t>
      </w:r>
      <w:r w:rsidR="000512C1" w:rsidRPr="0017278E">
        <w:t xml:space="preserve">ye </w:t>
      </w:r>
      <w:r w:rsidR="00B7168D" w:rsidRPr="0017278E">
        <w:t xml:space="preserve">and </w:t>
      </w:r>
      <w:r w:rsidR="000512C1" w:rsidRPr="0017278E">
        <w:t xml:space="preserve">Ear </w:t>
      </w:r>
      <w:r w:rsidR="00B7168D" w:rsidRPr="0017278E">
        <w:t xml:space="preserve">Hospital </w:t>
      </w:r>
      <w:r w:rsidR="00DB6F5E" w:rsidRPr="0017278E">
        <w:t>E</w:t>
      </w:r>
      <w:r w:rsidRPr="0017278E">
        <w:t xml:space="preserve">arly </w:t>
      </w:r>
      <w:r w:rsidR="00DB6F5E" w:rsidRPr="0017278E">
        <w:t>R</w:t>
      </w:r>
      <w:r w:rsidRPr="0017278E">
        <w:t xml:space="preserve">esearch </w:t>
      </w:r>
      <w:r w:rsidR="00DB6F5E" w:rsidRPr="0017278E">
        <w:t>C</w:t>
      </w:r>
      <w:r w:rsidRPr="0017278E">
        <w:t xml:space="preserve">areer </w:t>
      </w:r>
      <w:r w:rsidR="00DB6F5E" w:rsidRPr="0017278E">
        <w:t>S</w:t>
      </w:r>
      <w:r w:rsidRPr="0017278E">
        <w:t xml:space="preserve">upport </w:t>
      </w:r>
      <w:r w:rsidR="00DB6F5E" w:rsidRPr="0017278E">
        <w:t>G</w:t>
      </w:r>
      <w:r w:rsidRPr="0017278E">
        <w:t>rants</w:t>
      </w:r>
      <w:r w:rsidR="00EA279F">
        <w:t xml:space="preserve"> (ERCSG)</w:t>
      </w:r>
    </w:p>
    <w:p w14:paraId="12C86A21" w14:textId="74BDF0BD" w:rsidR="00B7168D" w:rsidRPr="0017278E" w:rsidRDefault="00B7168D" w:rsidP="004D6D19">
      <w:pPr>
        <w:pStyle w:val="Heading1"/>
        <w:spacing w:before="0" w:line="360" w:lineRule="auto"/>
        <w:jc w:val="center"/>
      </w:pPr>
      <w:r w:rsidRPr="0017278E">
        <w:t>202</w:t>
      </w:r>
      <w:r w:rsidR="00482B5B">
        <w:t>6</w:t>
      </w:r>
      <w:r w:rsidRPr="0017278E">
        <w:t xml:space="preserve"> Guidelines</w:t>
      </w:r>
    </w:p>
    <w:p w14:paraId="42D6DEF6" w14:textId="77777777" w:rsidR="00224AA1" w:rsidRDefault="00224AA1" w:rsidP="00224AA1">
      <w:pPr>
        <w:spacing w:after="0"/>
      </w:pPr>
    </w:p>
    <w:p w14:paraId="1F46F2CF" w14:textId="77777777" w:rsidR="00B7168D" w:rsidRPr="00B7168D" w:rsidRDefault="00B7168D" w:rsidP="00224AA1">
      <w:pPr>
        <w:spacing w:after="0"/>
        <w:rPr>
          <w:b/>
          <w:i/>
        </w:rPr>
      </w:pPr>
      <w:r w:rsidRPr="0017278E">
        <w:rPr>
          <w:b/>
          <w:i/>
        </w:rPr>
        <w:t>Early Research Career Support Grants</w:t>
      </w:r>
      <w:r w:rsidRPr="00B7168D" w:rsidDel="00B7168D">
        <w:rPr>
          <w:b/>
          <w:i/>
        </w:rPr>
        <w:t xml:space="preserve"> </w:t>
      </w:r>
    </w:p>
    <w:p w14:paraId="28D64E46" w14:textId="4EF37298" w:rsidR="006D7167" w:rsidRDefault="006D7167" w:rsidP="006D7167">
      <w:pPr>
        <w:pStyle w:val="BodyText"/>
        <w:ind w:left="23"/>
      </w:pPr>
      <w:r>
        <w:t>The</w:t>
      </w:r>
      <w:r>
        <w:rPr>
          <w:spacing w:val="-3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Ear</w:t>
      </w:r>
      <w:r>
        <w:rPr>
          <w:spacing w:val="-3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invites</w:t>
      </w:r>
      <w:r>
        <w:rPr>
          <w:spacing w:val="-6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early research career support grants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2026.</w:t>
      </w:r>
    </w:p>
    <w:p w14:paraId="40859FC8" w14:textId="77777777" w:rsidR="006D7167" w:rsidRDefault="006D7167" w:rsidP="006D7167">
      <w:pPr>
        <w:pStyle w:val="BodyText"/>
      </w:pPr>
    </w:p>
    <w:p w14:paraId="45AE14BB" w14:textId="77777777" w:rsidR="006D7167" w:rsidRPr="006D7167" w:rsidRDefault="006D7167" w:rsidP="00787999">
      <w:pPr>
        <w:spacing w:after="0" w:line="360" w:lineRule="auto"/>
        <w:rPr>
          <w:b/>
          <w:i/>
        </w:rPr>
      </w:pPr>
      <w:r w:rsidRPr="006D7167">
        <w:rPr>
          <w:b/>
          <w:i/>
        </w:rPr>
        <w:t>Key Dates</w:t>
      </w:r>
    </w:p>
    <w:p w14:paraId="21698E50" w14:textId="24D4766F" w:rsidR="006D7167" w:rsidRDefault="006D7167" w:rsidP="00787999">
      <w:pPr>
        <w:pStyle w:val="BodyText"/>
        <w:tabs>
          <w:tab w:val="left" w:pos="2127"/>
        </w:tabs>
        <w:spacing w:line="360" w:lineRule="auto"/>
        <w:ind w:left="23" w:right="-46"/>
      </w:pPr>
      <w:bookmarkStart w:id="0" w:name="_Hlk215576435"/>
      <w:r>
        <w:t>11 December 2025</w:t>
      </w:r>
      <w:r>
        <w:tab/>
        <w:t>Early Research Career Support Grant Program</w:t>
      </w:r>
      <w:r>
        <w:rPr>
          <w:spacing w:val="-6"/>
        </w:rPr>
        <w:t xml:space="preserve"> </w:t>
      </w:r>
      <w:r>
        <w:t xml:space="preserve">announced </w:t>
      </w:r>
    </w:p>
    <w:p w14:paraId="3036189D" w14:textId="2252AC10" w:rsidR="006D7167" w:rsidRDefault="006D7167" w:rsidP="00787999">
      <w:pPr>
        <w:pStyle w:val="BodyText"/>
        <w:tabs>
          <w:tab w:val="left" w:pos="2127"/>
        </w:tabs>
        <w:spacing w:line="360" w:lineRule="auto"/>
        <w:ind w:left="23" w:right="-46"/>
      </w:pPr>
      <w:r>
        <w:t>1 January 2026</w:t>
      </w:r>
      <w:r>
        <w:tab/>
        <w:t>Applications open</w:t>
      </w:r>
    </w:p>
    <w:p w14:paraId="68BF5F48" w14:textId="03BE9DE8" w:rsidR="006D7167" w:rsidRDefault="006D7167" w:rsidP="00787999">
      <w:pPr>
        <w:pStyle w:val="BodyText"/>
        <w:tabs>
          <w:tab w:val="left" w:pos="2127"/>
        </w:tabs>
        <w:spacing w:line="360" w:lineRule="auto"/>
        <w:ind w:left="23" w:right="-46"/>
      </w:pPr>
      <w:r>
        <w:t>15 February 2026</w:t>
      </w:r>
      <w:r>
        <w:tab/>
        <w:t>Applications close</w:t>
      </w:r>
    </w:p>
    <w:p w14:paraId="265AFEBA" w14:textId="2B1740B5" w:rsidR="006D7167" w:rsidRDefault="006D7167" w:rsidP="00787999">
      <w:pPr>
        <w:pStyle w:val="BodyText"/>
        <w:tabs>
          <w:tab w:val="left" w:pos="2127"/>
        </w:tabs>
        <w:spacing w:line="360" w:lineRule="auto"/>
        <w:ind w:left="23" w:right="-46"/>
      </w:pPr>
      <w:r>
        <w:t>30 April 2026</w:t>
      </w:r>
      <w:r>
        <w:tab/>
        <w:t>Successful</w:t>
      </w:r>
      <w:r>
        <w:rPr>
          <w:spacing w:val="-4"/>
        </w:rPr>
        <w:t xml:space="preserve"> </w:t>
      </w:r>
      <w:r w:rsidR="0025528F">
        <w:rPr>
          <w:spacing w:val="-4"/>
        </w:rPr>
        <w:t>applicants</w:t>
      </w:r>
      <w:r>
        <w:rPr>
          <w:spacing w:val="-6"/>
        </w:rPr>
        <w:t xml:space="preserve"> </w:t>
      </w:r>
      <w:r>
        <w:rPr>
          <w:spacing w:val="-2"/>
        </w:rPr>
        <w:t>announced</w:t>
      </w:r>
    </w:p>
    <w:p w14:paraId="0BEAE82F" w14:textId="7BD1A76F" w:rsidR="006D7167" w:rsidRDefault="006D7167" w:rsidP="00787999">
      <w:pPr>
        <w:pStyle w:val="BodyText"/>
        <w:tabs>
          <w:tab w:val="left" w:pos="2127"/>
        </w:tabs>
        <w:spacing w:line="360" w:lineRule="auto"/>
        <w:ind w:left="23" w:right="-46"/>
      </w:pPr>
      <w:r>
        <w:t>1 July 2026</w:t>
      </w:r>
      <w:r>
        <w:tab/>
        <w:t>Funding</w:t>
      </w:r>
      <w:r>
        <w:rPr>
          <w:spacing w:val="-5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conditions</w:t>
      </w:r>
    </w:p>
    <w:bookmarkEnd w:id="0"/>
    <w:p w14:paraId="505B4E03" w14:textId="77777777" w:rsidR="006D7167" w:rsidRDefault="006D7167" w:rsidP="00482B5B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000000"/>
          <w:lang w:val="en" w:eastAsia="en-AU"/>
        </w:rPr>
      </w:pPr>
    </w:p>
    <w:p w14:paraId="056D7C3C" w14:textId="375844FC" w:rsidR="00482B5B" w:rsidRPr="00207ED6" w:rsidRDefault="00482B5B" w:rsidP="00482B5B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000000"/>
          <w:lang w:val="en" w:eastAsia="en-AU"/>
        </w:rPr>
      </w:pPr>
      <w:r>
        <w:rPr>
          <w:rFonts w:eastAsia="Times New Roman" w:cstheme="minorHAnsi"/>
          <w:b/>
          <w:i/>
          <w:color w:val="000000"/>
          <w:lang w:val="en" w:eastAsia="en-AU"/>
        </w:rPr>
        <w:t>Purpose</w:t>
      </w:r>
    </w:p>
    <w:p w14:paraId="196D4882" w14:textId="7DDC2F3F" w:rsidR="00224AA1" w:rsidRDefault="00224AA1" w:rsidP="00EA279F">
      <w:pPr>
        <w:spacing w:before="240" w:after="0"/>
      </w:pPr>
      <w:r>
        <w:t xml:space="preserve">The purpose of </w:t>
      </w:r>
      <w:r w:rsidR="00B7168D">
        <w:t>the G</w:t>
      </w:r>
      <w:r>
        <w:t>rant</w:t>
      </w:r>
      <w:r w:rsidR="0025528F">
        <w:t xml:space="preserve"> </w:t>
      </w:r>
      <w:r w:rsidR="00912ACC">
        <w:t>p</w:t>
      </w:r>
      <w:r w:rsidR="0025528F">
        <w:t>rogram</w:t>
      </w:r>
      <w:r>
        <w:t xml:space="preserve"> is to support</w:t>
      </w:r>
      <w:r w:rsidR="00207ED6">
        <w:t xml:space="preserve"> the </w:t>
      </w:r>
      <w:r>
        <w:t xml:space="preserve">recruitment and retention of clinical researchers </w:t>
      </w:r>
      <w:r w:rsidR="00C34E80">
        <w:t>early in their research careers</w:t>
      </w:r>
      <w:r w:rsidR="00482B5B">
        <w:t>, including</w:t>
      </w:r>
      <w:r w:rsidR="00C34E80">
        <w:t xml:space="preserve"> those </w:t>
      </w:r>
      <w:r>
        <w:t xml:space="preserve">transitioning </w:t>
      </w:r>
      <w:r w:rsidRPr="00AE424D">
        <w:t>from training positions to early consultant</w:t>
      </w:r>
      <w:r w:rsidR="00AE424D" w:rsidRPr="00AE424D">
        <w:t xml:space="preserve"> or </w:t>
      </w:r>
      <w:r w:rsidR="00C34E80">
        <w:t xml:space="preserve">from junior to </w:t>
      </w:r>
      <w:r w:rsidR="00AE424D" w:rsidRPr="00AE424D">
        <w:t>more senior clinica</w:t>
      </w:r>
      <w:r w:rsidR="00C34E80">
        <w:t>l</w:t>
      </w:r>
      <w:r w:rsidR="00AE424D" w:rsidRPr="00AE424D">
        <w:t xml:space="preserve"> positions</w:t>
      </w:r>
      <w:r w:rsidRPr="00AE424D">
        <w:t xml:space="preserve">. </w:t>
      </w:r>
      <w:r w:rsidR="00B7168D">
        <w:t xml:space="preserve"> </w:t>
      </w:r>
    </w:p>
    <w:p w14:paraId="108372A7" w14:textId="77777777" w:rsidR="000605D1" w:rsidRDefault="000605D1" w:rsidP="000605D1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00000"/>
          <w:sz w:val="24"/>
          <w:szCs w:val="24"/>
          <w:lang w:val="en" w:eastAsia="en-AU"/>
        </w:rPr>
      </w:pPr>
    </w:p>
    <w:p w14:paraId="1DD238D4" w14:textId="77777777" w:rsidR="00207ED6" w:rsidRPr="00207ED6" w:rsidRDefault="00207ED6" w:rsidP="000605D1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000000"/>
          <w:lang w:val="en" w:eastAsia="en-AU"/>
        </w:rPr>
      </w:pPr>
      <w:r w:rsidRPr="00207ED6">
        <w:rPr>
          <w:rFonts w:eastAsia="Times New Roman" w:cstheme="minorHAnsi"/>
          <w:b/>
          <w:i/>
          <w:color w:val="000000"/>
          <w:lang w:val="en" w:eastAsia="en-AU"/>
        </w:rPr>
        <w:t>Objectives</w:t>
      </w:r>
    </w:p>
    <w:p w14:paraId="24DACD6C" w14:textId="540C23CB" w:rsidR="000605D1" w:rsidRPr="00EA279F" w:rsidRDefault="000605D1" w:rsidP="00EA279F">
      <w:pPr>
        <w:spacing w:before="240" w:after="0"/>
      </w:pPr>
      <w:r w:rsidRPr="00EA279F">
        <w:t xml:space="preserve">The objectives of this </w:t>
      </w:r>
      <w:r w:rsidR="0025528F">
        <w:t>program</w:t>
      </w:r>
      <w:r w:rsidRPr="00EA279F">
        <w:t xml:space="preserve"> are to:</w:t>
      </w:r>
    </w:p>
    <w:p w14:paraId="790768BF" w14:textId="757DC36A" w:rsidR="000605D1" w:rsidRPr="000605D1" w:rsidRDefault="000605D1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0605D1">
        <w:rPr>
          <w:rFonts w:eastAsia="Times New Roman" w:cstheme="minorHAnsi"/>
          <w:color w:val="000000"/>
          <w:lang w:val="en" w:eastAsia="en-AU"/>
        </w:rPr>
        <w:t xml:space="preserve">Encourage research </w:t>
      </w:r>
      <w:r w:rsidR="0025528F">
        <w:rPr>
          <w:rFonts w:eastAsia="Times New Roman" w:cstheme="minorHAnsi"/>
          <w:color w:val="000000"/>
          <w:lang w:val="en" w:eastAsia="en-AU"/>
        </w:rPr>
        <w:t>by</w:t>
      </w:r>
      <w:r w:rsidRPr="000605D1">
        <w:rPr>
          <w:rFonts w:eastAsia="Times New Roman" w:cstheme="minorHAnsi"/>
          <w:color w:val="000000"/>
          <w:lang w:val="en" w:eastAsia="en-AU"/>
        </w:rPr>
        <w:t xml:space="preserve"> members of staff seeking to establish their </w:t>
      </w:r>
      <w:r w:rsidR="0025528F">
        <w:rPr>
          <w:rFonts w:eastAsia="Times New Roman" w:cstheme="minorHAnsi"/>
          <w:color w:val="000000"/>
          <w:lang w:val="en" w:eastAsia="en-AU"/>
        </w:rPr>
        <w:t xml:space="preserve">research </w:t>
      </w:r>
      <w:r w:rsidRPr="000605D1">
        <w:rPr>
          <w:rFonts w:eastAsia="Times New Roman" w:cstheme="minorHAnsi"/>
          <w:color w:val="000000"/>
          <w:lang w:val="en" w:eastAsia="en-AU"/>
        </w:rPr>
        <w:t xml:space="preserve">program at the </w:t>
      </w:r>
      <w:r w:rsidR="00207ED6">
        <w:rPr>
          <w:rFonts w:eastAsia="Times New Roman" w:cstheme="minorHAnsi"/>
          <w:color w:val="000000"/>
          <w:lang w:val="en" w:eastAsia="en-AU"/>
        </w:rPr>
        <w:t>Eye and Ear Hospital</w:t>
      </w:r>
      <w:r w:rsidR="00C34E80">
        <w:rPr>
          <w:rFonts w:eastAsia="Times New Roman" w:cstheme="minorHAnsi"/>
          <w:color w:val="000000"/>
          <w:lang w:val="en" w:eastAsia="en-AU"/>
        </w:rPr>
        <w:t>.</w:t>
      </w:r>
    </w:p>
    <w:p w14:paraId="2C4A504A" w14:textId="74BEA03B" w:rsidR="00207ED6" w:rsidRDefault="00207ED6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0605D1">
        <w:rPr>
          <w:rFonts w:eastAsia="Times New Roman" w:cstheme="minorHAnsi"/>
          <w:color w:val="000000"/>
          <w:lang w:val="en" w:eastAsia="en-AU"/>
        </w:rPr>
        <w:t xml:space="preserve">Provide funding for </w:t>
      </w:r>
      <w:r w:rsidR="0025528F">
        <w:rPr>
          <w:rFonts w:eastAsia="Times New Roman" w:cstheme="minorHAnsi"/>
          <w:color w:val="000000"/>
          <w:lang w:val="en" w:eastAsia="en-AU"/>
        </w:rPr>
        <w:t xml:space="preserve">research </w:t>
      </w:r>
      <w:r w:rsidRPr="000605D1">
        <w:rPr>
          <w:rFonts w:eastAsia="Times New Roman" w:cstheme="minorHAnsi"/>
          <w:color w:val="000000"/>
          <w:lang w:val="en" w:eastAsia="en-AU"/>
        </w:rPr>
        <w:t xml:space="preserve">projects that are strategically aligned with the </w:t>
      </w:r>
      <w:r>
        <w:rPr>
          <w:rFonts w:eastAsia="Times New Roman" w:cstheme="minorHAnsi"/>
          <w:color w:val="000000"/>
          <w:lang w:val="en" w:eastAsia="en-AU"/>
        </w:rPr>
        <w:t xml:space="preserve">Eye and Ear research </w:t>
      </w:r>
      <w:r w:rsidRPr="000605D1">
        <w:rPr>
          <w:rFonts w:eastAsia="Times New Roman" w:cstheme="minorHAnsi"/>
          <w:color w:val="000000"/>
          <w:lang w:val="en" w:eastAsia="en-AU"/>
        </w:rPr>
        <w:t>priorities</w:t>
      </w:r>
      <w:r w:rsidR="00C34E80">
        <w:rPr>
          <w:rFonts w:eastAsia="Times New Roman" w:cstheme="minorHAnsi"/>
          <w:color w:val="000000"/>
          <w:lang w:val="en" w:eastAsia="en-AU"/>
        </w:rPr>
        <w:t>.</w:t>
      </w:r>
    </w:p>
    <w:p w14:paraId="39F6E5C0" w14:textId="507E21D3" w:rsidR="000605D1" w:rsidRPr="000605D1" w:rsidRDefault="000605D1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0605D1">
        <w:rPr>
          <w:rFonts w:eastAsia="Times New Roman" w:cstheme="minorHAnsi"/>
          <w:color w:val="000000"/>
          <w:lang w:val="en" w:eastAsia="en-AU"/>
        </w:rPr>
        <w:t xml:space="preserve">Enhance the staff </w:t>
      </w:r>
      <w:r w:rsidR="0025528F" w:rsidRPr="000605D1">
        <w:rPr>
          <w:rFonts w:eastAsia="Times New Roman" w:cstheme="minorHAnsi"/>
          <w:color w:val="000000"/>
          <w:lang w:val="en" w:eastAsia="en-AU"/>
        </w:rPr>
        <w:t>members’</w:t>
      </w:r>
      <w:r w:rsidRPr="000605D1">
        <w:rPr>
          <w:rFonts w:eastAsia="Times New Roman" w:cstheme="minorHAnsi"/>
          <w:color w:val="000000"/>
          <w:lang w:val="en" w:eastAsia="en-AU"/>
        </w:rPr>
        <w:t xml:space="preserve"> competitiveness in bidding for external research funds</w:t>
      </w:r>
      <w:r w:rsidR="00C34E80">
        <w:rPr>
          <w:rFonts w:eastAsia="Times New Roman" w:cstheme="minorHAnsi"/>
          <w:color w:val="000000"/>
          <w:lang w:val="en" w:eastAsia="en-AU"/>
        </w:rPr>
        <w:t>.</w:t>
      </w:r>
    </w:p>
    <w:p w14:paraId="4FD8B96F" w14:textId="77777777" w:rsidR="000605D1" w:rsidRPr="000605D1" w:rsidRDefault="000605D1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0605D1">
        <w:rPr>
          <w:rFonts w:eastAsia="Times New Roman" w:cstheme="minorHAnsi"/>
          <w:color w:val="000000"/>
          <w:lang w:val="en" w:eastAsia="en-AU"/>
        </w:rPr>
        <w:t>Provide experience in preparing a grant application for peer review.</w:t>
      </w:r>
    </w:p>
    <w:p w14:paraId="3C7732B5" w14:textId="77777777" w:rsidR="00224AA1" w:rsidRDefault="00224AA1" w:rsidP="00224AA1">
      <w:pPr>
        <w:spacing w:after="0"/>
      </w:pPr>
    </w:p>
    <w:p w14:paraId="43E12744" w14:textId="725EF79A" w:rsidR="00325E7E" w:rsidRDefault="00325E7E" w:rsidP="00EA279F">
      <w:pPr>
        <w:rPr>
          <w:b/>
          <w:i/>
        </w:rPr>
      </w:pPr>
      <w:r>
        <w:rPr>
          <w:b/>
          <w:i/>
        </w:rPr>
        <w:t>Value and duration</w:t>
      </w:r>
    </w:p>
    <w:p w14:paraId="40BF5306" w14:textId="5425959F" w:rsidR="00D408F3" w:rsidRDefault="0025528F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 xml:space="preserve">Up to </w:t>
      </w:r>
      <w:r w:rsidR="00D408F3">
        <w:rPr>
          <w:rFonts w:eastAsia="Times New Roman" w:cstheme="minorHAnsi"/>
          <w:color w:val="000000"/>
          <w:lang w:val="en" w:eastAsia="en-AU"/>
        </w:rPr>
        <w:t xml:space="preserve">three (3) </w:t>
      </w:r>
      <w:r>
        <w:rPr>
          <w:rFonts w:eastAsia="Times New Roman" w:cstheme="minorHAnsi"/>
          <w:color w:val="000000"/>
          <w:lang w:val="en" w:eastAsia="en-AU"/>
        </w:rPr>
        <w:t>grants</w:t>
      </w:r>
      <w:r w:rsidR="00D408F3">
        <w:rPr>
          <w:rFonts w:eastAsia="Times New Roman" w:cstheme="minorHAnsi"/>
          <w:color w:val="000000"/>
          <w:lang w:val="en" w:eastAsia="en-AU"/>
        </w:rPr>
        <w:t>,</w:t>
      </w:r>
      <w:r w:rsidR="00325E7E" w:rsidRPr="00EA279F">
        <w:rPr>
          <w:rFonts w:eastAsia="Times New Roman" w:cstheme="minorHAnsi"/>
          <w:color w:val="000000"/>
          <w:lang w:val="en" w:eastAsia="en-AU"/>
        </w:rPr>
        <w:t xml:space="preserve"> </w:t>
      </w:r>
      <w:r w:rsidR="00D408F3">
        <w:rPr>
          <w:rFonts w:eastAsia="Times New Roman" w:cstheme="minorHAnsi"/>
          <w:color w:val="000000"/>
          <w:lang w:val="en" w:eastAsia="en-AU"/>
        </w:rPr>
        <w:t xml:space="preserve">each </w:t>
      </w:r>
      <w:r w:rsidR="00325E7E" w:rsidRPr="00EA279F">
        <w:rPr>
          <w:rFonts w:eastAsia="Times New Roman" w:cstheme="minorHAnsi"/>
          <w:color w:val="000000"/>
          <w:lang w:val="en" w:eastAsia="en-AU"/>
        </w:rPr>
        <w:t>of up to $35</w:t>
      </w:r>
      <w:r w:rsidR="00B7168D" w:rsidRPr="00EA279F">
        <w:rPr>
          <w:rFonts w:eastAsia="Times New Roman" w:cstheme="minorHAnsi"/>
          <w:color w:val="000000"/>
          <w:lang w:val="en" w:eastAsia="en-AU"/>
        </w:rPr>
        <w:t>,000</w:t>
      </w:r>
      <w:r w:rsidR="00C33213" w:rsidRPr="00EA279F">
        <w:rPr>
          <w:rFonts w:eastAsia="Times New Roman" w:cstheme="minorHAnsi"/>
          <w:color w:val="000000"/>
          <w:lang w:val="en" w:eastAsia="en-AU"/>
        </w:rPr>
        <w:t xml:space="preserve"> (excluding GST)</w:t>
      </w:r>
      <w:r w:rsidR="00D408F3">
        <w:rPr>
          <w:rFonts w:eastAsia="Times New Roman" w:cstheme="minorHAnsi"/>
          <w:color w:val="000000"/>
          <w:lang w:val="en" w:eastAsia="en-AU"/>
        </w:rPr>
        <w:t>,</w:t>
      </w:r>
    </w:p>
    <w:p w14:paraId="339A05E5" w14:textId="42181429" w:rsidR="004D6D19" w:rsidRDefault="00AE424D" w:rsidP="004D6D19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EA279F">
        <w:rPr>
          <w:rFonts w:eastAsia="Times New Roman" w:cstheme="minorHAnsi"/>
          <w:color w:val="000000"/>
          <w:lang w:val="en" w:eastAsia="en-AU"/>
        </w:rPr>
        <w:t xml:space="preserve">Grants are </w:t>
      </w:r>
      <w:r w:rsidR="00C33213" w:rsidRPr="00EA279F">
        <w:rPr>
          <w:rFonts w:eastAsia="Times New Roman" w:cstheme="minorHAnsi"/>
          <w:color w:val="000000"/>
          <w:lang w:val="en" w:eastAsia="en-AU"/>
        </w:rPr>
        <w:t>ide</w:t>
      </w:r>
      <w:r w:rsidRPr="00EA279F">
        <w:rPr>
          <w:rFonts w:eastAsia="Times New Roman" w:cstheme="minorHAnsi"/>
          <w:color w:val="000000"/>
          <w:lang w:val="en" w:eastAsia="en-AU"/>
        </w:rPr>
        <w:t xml:space="preserve">ally for salary support for the successful </w:t>
      </w:r>
      <w:r w:rsidR="00D408F3">
        <w:rPr>
          <w:rFonts w:eastAsia="Times New Roman" w:cstheme="minorHAnsi"/>
          <w:color w:val="000000"/>
          <w:lang w:val="en" w:eastAsia="en-AU"/>
        </w:rPr>
        <w:t>applicant</w:t>
      </w:r>
      <w:r w:rsidR="00B7168D" w:rsidRPr="00EA279F">
        <w:rPr>
          <w:rFonts w:eastAsia="Times New Roman" w:cstheme="minorHAnsi"/>
          <w:color w:val="000000"/>
          <w:lang w:val="en" w:eastAsia="en-AU"/>
        </w:rPr>
        <w:t xml:space="preserve"> or for salary support of research support staff or a combination of both</w:t>
      </w:r>
      <w:r w:rsidRPr="00EA279F">
        <w:rPr>
          <w:rFonts w:eastAsia="Times New Roman" w:cstheme="minorHAnsi"/>
          <w:color w:val="000000"/>
          <w:lang w:val="en" w:eastAsia="en-AU"/>
        </w:rPr>
        <w:t>.</w:t>
      </w:r>
      <w:r w:rsidR="005E2C59">
        <w:rPr>
          <w:rFonts w:eastAsia="Times New Roman" w:cstheme="minorHAnsi"/>
          <w:color w:val="000000"/>
          <w:lang w:val="en" w:eastAsia="en-AU"/>
        </w:rPr>
        <w:t xml:space="preserve"> Funding for research materials or equipment will be considered.</w:t>
      </w:r>
    </w:p>
    <w:p w14:paraId="5C210470" w14:textId="77777777" w:rsidR="004D6D19" w:rsidRPr="004D6D19" w:rsidRDefault="004D6D19" w:rsidP="004D6D19">
      <w:pPr>
        <w:shd w:val="clear" w:color="auto" w:fill="FFFFFF"/>
        <w:spacing w:after="0"/>
        <w:rPr>
          <w:rFonts w:eastAsia="Times New Roman" w:cstheme="minorHAnsi"/>
          <w:color w:val="000000"/>
          <w:lang w:val="en" w:eastAsia="en-AU"/>
        </w:rPr>
      </w:pPr>
    </w:p>
    <w:p w14:paraId="643DBEF2" w14:textId="3CA57C30" w:rsidR="00224AA1" w:rsidRPr="00224AA1" w:rsidRDefault="00224AA1" w:rsidP="00EA279F">
      <w:pPr>
        <w:shd w:val="clear" w:color="auto" w:fill="FFFFFF"/>
        <w:spacing w:line="240" w:lineRule="auto"/>
        <w:rPr>
          <w:b/>
          <w:i/>
        </w:rPr>
      </w:pPr>
      <w:r w:rsidRPr="00224AA1">
        <w:rPr>
          <w:b/>
          <w:i/>
        </w:rPr>
        <w:t>Eligibility</w:t>
      </w:r>
    </w:p>
    <w:p w14:paraId="56F3CE51" w14:textId="030D751B" w:rsidR="00482B5B" w:rsidRDefault="001C698E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>Applicat</w:t>
      </w:r>
      <w:r w:rsidR="004A39D6">
        <w:rPr>
          <w:rFonts w:eastAsia="Times New Roman" w:cstheme="minorHAnsi"/>
          <w:color w:val="000000"/>
          <w:lang w:val="en" w:eastAsia="en-AU"/>
        </w:rPr>
        <w:t>ion</w:t>
      </w:r>
      <w:r>
        <w:rPr>
          <w:rFonts w:eastAsia="Times New Roman" w:cstheme="minorHAnsi"/>
          <w:color w:val="000000"/>
          <w:lang w:val="en" w:eastAsia="en-AU"/>
        </w:rPr>
        <w:t>s are o</w:t>
      </w:r>
      <w:r w:rsidR="00482B5B">
        <w:rPr>
          <w:rFonts w:eastAsia="Times New Roman" w:cstheme="minorHAnsi"/>
          <w:color w:val="000000"/>
          <w:lang w:val="en" w:eastAsia="en-AU"/>
        </w:rPr>
        <w:t xml:space="preserve">pen to </w:t>
      </w:r>
      <w:r w:rsidR="00667197">
        <w:rPr>
          <w:rFonts w:eastAsia="Times New Roman" w:cstheme="minorHAnsi"/>
          <w:color w:val="000000"/>
          <w:lang w:val="en" w:eastAsia="en-AU"/>
        </w:rPr>
        <w:t>any health professional (</w:t>
      </w:r>
      <w:r w:rsidR="00482B5B">
        <w:rPr>
          <w:rFonts w:eastAsia="Times New Roman" w:cstheme="minorHAnsi"/>
          <w:color w:val="000000"/>
          <w:lang w:val="en" w:eastAsia="en-AU"/>
        </w:rPr>
        <w:t>medical, allied health</w:t>
      </w:r>
      <w:r w:rsidR="00667197">
        <w:rPr>
          <w:rFonts w:eastAsia="Times New Roman" w:cstheme="minorHAnsi"/>
          <w:color w:val="000000"/>
          <w:lang w:val="en" w:eastAsia="en-AU"/>
        </w:rPr>
        <w:t>,</w:t>
      </w:r>
      <w:r w:rsidR="00482B5B">
        <w:rPr>
          <w:rFonts w:eastAsia="Times New Roman" w:cstheme="minorHAnsi"/>
          <w:color w:val="000000"/>
          <w:lang w:val="en" w:eastAsia="en-AU"/>
        </w:rPr>
        <w:t xml:space="preserve"> nursing</w:t>
      </w:r>
      <w:r w:rsidR="00667197">
        <w:rPr>
          <w:rFonts w:eastAsia="Times New Roman" w:cstheme="minorHAnsi"/>
          <w:color w:val="000000"/>
          <w:lang w:val="en" w:eastAsia="en-AU"/>
        </w:rPr>
        <w:t>)</w:t>
      </w:r>
      <w:r w:rsidR="00482B5B">
        <w:rPr>
          <w:rFonts w:eastAsia="Times New Roman" w:cstheme="minorHAnsi"/>
          <w:color w:val="000000"/>
          <w:lang w:val="en" w:eastAsia="en-AU"/>
        </w:rPr>
        <w:t xml:space="preserve"> </w:t>
      </w:r>
      <w:r w:rsidR="00667197">
        <w:rPr>
          <w:rFonts w:eastAsia="Times New Roman" w:cstheme="minorHAnsi"/>
          <w:color w:val="000000"/>
          <w:lang w:val="en" w:eastAsia="en-AU"/>
        </w:rPr>
        <w:t>working</w:t>
      </w:r>
      <w:r w:rsidR="00482B5B">
        <w:rPr>
          <w:rFonts w:eastAsia="Times New Roman" w:cstheme="minorHAnsi"/>
          <w:color w:val="000000"/>
          <w:lang w:val="en" w:eastAsia="en-AU"/>
        </w:rPr>
        <w:t xml:space="preserve"> at the Eye and Ear Hospital</w:t>
      </w:r>
      <w:r w:rsidR="00B12040">
        <w:rPr>
          <w:rFonts w:eastAsia="Times New Roman" w:cstheme="minorHAnsi"/>
          <w:color w:val="000000"/>
          <w:lang w:val="en" w:eastAsia="en-AU"/>
        </w:rPr>
        <w:t xml:space="preserve"> employed no less than 0.2 full time equivalent</w:t>
      </w:r>
      <w:r w:rsidR="00667197">
        <w:rPr>
          <w:rFonts w:eastAsia="Times New Roman" w:cstheme="minorHAnsi"/>
          <w:color w:val="000000"/>
          <w:lang w:val="en" w:eastAsia="en-AU"/>
        </w:rPr>
        <w:t xml:space="preserve"> </w:t>
      </w:r>
      <w:r w:rsidR="00667197" w:rsidRPr="00EA279F">
        <w:rPr>
          <w:rFonts w:eastAsia="Times New Roman" w:cstheme="minorHAnsi"/>
          <w:color w:val="000000"/>
          <w:lang w:val="en" w:eastAsia="en-AU"/>
        </w:rPr>
        <w:t xml:space="preserve">or returning from a fellowship or equivalent to take up agreed sessions </w:t>
      </w:r>
      <w:r w:rsidR="00B12040">
        <w:rPr>
          <w:rFonts w:eastAsia="Times New Roman" w:cstheme="minorHAnsi"/>
          <w:color w:val="000000"/>
          <w:lang w:val="en" w:eastAsia="en-AU"/>
        </w:rPr>
        <w:t xml:space="preserve">no less than 0.2 full time equivalent </w:t>
      </w:r>
      <w:r w:rsidR="00667197" w:rsidRPr="00EA279F">
        <w:rPr>
          <w:rFonts w:eastAsia="Times New Roman" w:cstheme="minorHAnsi"/>
          <w:color w:val="000000"/>
          <w:lang w:val="en" w:eastAsia="en-AU"/>
        </w:rPr>
        <w:t>at the Hospital.</w:t>
      </w:r>
    </w:p>
    <w:p w14:paraId="54F2338C" w14:textId="246D6AB3" w:rsidR="00325E7E" w:rsidRDefault="000669BD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>Preference</w:t>
      </w:r>
      <w:r w:rsidR="00325E7E" w:rsidRPr="00EA279F">
        <w:rPr>
          <w:rFonts w:eastAsia="Times New Roman" w:cstheme="minorHAnsi"/>
          <w:color w:val="000000"/>
          <w:lang w:val="en" w:eastAsia="en-AU"/>
        </w:rPr>
        <w:t xml:space="preserve"> will be given to applicants </w:t>
      </w:r>
      <w:r w:rsidR="00665922">
        <w:rPr>
          <w:rFonts w:eastAsia="Times New Roman" w:cstheme="minorHAnsi"/>
          <w:color w:val="000000"/>
          <w:lang w:val="en" w:eastAsia="en-AU"/>
        </w:rPr>
        <w:t xml:space="preserve">in the first 5 years of </w:t>
      </w:r>
      <w:r w:rsidR="00325E7E" w:rsidRPr="00EA279F">
        <w:rPr>
          <w:rFonts w:eastAsia="Times New Roman" w:cstheme="minorHAnsi"/>
          <w:color w:val="000000"/>
          <w:lang w:val="en" w:eastAsia="en-AU"/>
        </w:rPr>
        <w:t xml:space="preserve">their </w:t>
      </w:r>
      <w:r w:rsidR="001517FE" w:rsidRPr="00EA279F">
        <w:rPr>
          <w:rFonts w:eastAsia="Times New Roman" w:cstheme="minorHAnsi"/>
          <w:color w:val="000000"/>
          <w:lang w:val="en" w:eastAsia="en-AU"/>
        </w:rPr>
        <w:t>clinical</w:t>
      </w:r>
      <w:r w:rsidR="00C33213" w:rsidRPr="00EA279F">
        <w:rPr>
          <w:rFonts w:eastAsia="Times New Roman" w:cstheme="minorHAnsi"/>
          <w:color w:val="000000"/>
          <w:lang w:val="en" w:eastAsia="en-AU"/>
        </w:rPr>
        <w:t xml:space="preserve"> research</w:t>
      </w:r>
      <w:r w:rsidR="001517FE" w:rsidRPr="00EA279F">
        <w:rPr>
          <w:rFonts w:eastAsia="Times New Roman" w:cstheme="minorHAnsi"/>
          <w:color w:val="000000"/>
          <w:lang w:val="en" w:eastAsia="en-AU"/>
        </w:rPr>
        <w:t xml:space="preserve"> </w:t>
      </w:r>
      <w:r w:rsidR="00325E7E" w:rsidRPr="00EA279F">
        <w:rPr>
          <w:rFonts w:eastAsia="Times New Roman" w:cstheme="minorHAnsi"/>
          <w:color w:val="000000"/>
          <w:lang w:val="en" w:eastAsia="en-AU"/>
        </w:rPr>
        <w:t>career</w:t>
      </w:r>
      <w:r>
        <w:rPr>
          <w:rFonts w:eastAsia="Times New Roman" w:cstheme="minorHAnsi"/>
          <w:color w:val="000000"/>
          <w:lang w:val="en" w:eastAsia="en-AU"/>
        </w:rPr>
        <w:t xml:space="preserve"> at the hospital</w:t>
      </w:r>
      <w:r w:rsidR="00C34E80" w:rsidRPr="00EA279F">
        <w:rPr>
          <w:rFonts w:eastAsia="Times New Roman" w:cstheme="minorHAnsi"/>
          <w:color w:val="000000"/>
          <w:lang w:val="en" w:eastAsia="en-AU"/>
        </w:rPr>
        <w:t>.</w:t>
      </w:r>
      <w:r w:rsidR="004A39D6">
        <w:rPr>
          <w:rFonts w:eastAsia="Times New Roman" w:cstheme="minorHAnsi"/>
          <w:color w:val="000000"/>
          <w:lang w:val="en" w:eastAsia="en-AU"/>
        </w:rPr>
        <w:t xml:space="preserve"> </w:t>
      </w:r>
    </w:p>
    <w:p w14:paraId="6AB06A4F" w14:textId="632D8506" w:rsidR="00325E7E" w:rsidRPr="007935C0" w:rsidRDefault="00B12040" w:rsidP="007935C0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>Those not enrolled in or holding a research higher degree must nominate a supervisor</w:t>
      </w:r>
      <w:r w:rsidR="008C1D8D">
        <w:rPr>
          <w:rFonts w:eastAsia="Times New Roman" w:cstheme="minorHAnsi"/>
          <w:color w:val="000000"/>
          <w:lang w:val="en" w:eastAsia="en-AU"/>
        </w:rPr>
        <w:t xml:space="preserve"> affiliated with the hospital</w:t>
      </w:r>
      <w:r>
        <w:rPr>
          <w:rFonts w:eastAsia="Times New Roman" w:cstheme="minorHAnsi"/>
          <w:color w:val="000000"/>
          <w:lang w:val="en" w:eastAsia="en-AU"/>
        </w:rPr>
        <w:t>.</w:t>
      </w:r>
    </w:p>
    <w:p w14:paraId="3B28D1D6" w14:textId="77777777" w:rsidR="008C1D8D" w:rsidRPr="00C07C3D" w:rsidRDefault="008C1D8D" w:rsidP="008C1D8D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>
        <w:t>Clinical</w:t>
      </w:r>
      <w:r w:rsidRPr="00C07C3D">
        <w:rPr>
          <w:spacing w:val="-1"/>
        </w:rPr>
        <w:t xml:space="preserve"> </w:t>
      </w:r>
      <w:r>
        <w:t>research</w:t>
      </w:r>
      <w:r w:rsidRPr="00C07C3D">
        <w:rPr>
          <w:spacing w:val="-4"/>
        </w:rPr>
        <w:t xml:space="preserve"> </w:t>
      </w:r>
      <w:r>
        <w:t>must</w:t>
      </w:r>
      <w:r w:rsidRPr="00C07C3D">
        <w:rPr>
          <w:spacing w:val="-3"/>
        </w:rPr>
        <w:t xml:space="preserve"> </w:t>
      </w:r>
      <w:r>
        <w:t>involve</w:t>
      </w:r>
      <w:r w:rsidRPr="00C07C3D">
        <w:rPr>
          <w:spacing w:val="-4"/>
        </w:rPr>
        <w:t xml:space="preserve"> </w:t>
      </w:r>
      <w:r>
        <w:t>the</w:t>
      </w:r>
      <w:r w:rsidRPr="00C07C3D">
        <w:rPr>
          <w:spacing w:val="-1"/>
        </w:rPr>
        <w:t xml:space="preserve"> </w:t>
      </w:r>
      <w:r>
        <w:t>Eye</w:t>
      </w:r>
      <w:r w:rsidRPr="00C07C3D">
        <w:rPr>
          <w:spacing w:val="-1"/>
        </w:rPr>
        <w:t xml:space="preserve"> </w:t>
      </w:r>
      <w:r>
        <w:t>and</w:t>
      </w:r>
      <w:r w:rsidRPr="00C07C3D">
        <w:rPr>
          <w:spacing w:val="-1"/>
        </w:rPr>
        <w:t xml:space="preserve"> </w:t>
      </w:r>
      <w:r>
        <w:t>Ear</w:t>
      </w:r>
      <w:r w:rsidRPr="00C07C3D">
        <w:rPr>
          <w:spacing w:val="-1"/>
        </w:rPr>
        <w:t xml:space="preserve"> </w:t>
      </w:r>
      <w:r>
        <w:t>Hospital</w:t>
      </w:r>
      <w:r w:rsidRPr="00C07C3D">
        <w:rPr>
          <w:spacing w:val="-3"/>
        </w:rPr>
        <w:t xml:space="preserve"> </w:t>
      </w:r>
      <w:r>
        <w:t>as</w:t>
      </w:r>
      <w:r w:rsidRPr="00C07C3D">
        <w:rPr>
          <w:spacing w:val="-4"/>
        </w:rPr>
        <w:t xml:space="preserve"> </w:t>
      </w:r>
      <w:r>
        <w:t>a</w:t>
      </w:r>
      <w:r w:rsidRPr="00C07C3D">
        <w:rPr>
          <w:spacing w:val="-1"/>
        </w:rPr>
        <w:t xml:space="preserve"> </w:t>
      </w:r>
      <w:r>
        <w:t>research</w:t>
      </w:r>
      <w:r w:rsidRPr="00C07C3D">
        <w:rPr>
          <w:spacing w:val="-2"/>
        </w:rPr>
        <w:t xml:space="preserve"> </w:t>
      </w:r>
      <w:r>
        <w:t>site</w:t>
      </w:r>
      <w:r w:rsidRPr="00C07C3D">
        <w:rPr>
          <w:spacing w:val="-3"/>
        </w:rPr>
        <w:t xml:space="preserve"> </w:t>
      </w:r>
      <w:r>
        <w:t>and</w:t>
      </w:r>
      <w:r w:rsidRPr="00C07C3D">
        <w:rPr>
          <w:spacing w:val="-2"/>
        </w:rPr>
        <w:t xml:space="preserve"> </w:t>
      </w:r>
      <w:r>
        <w:t>hold</w:t>
      </w:r>
      <w:r w:rsidRPr="00C07C3D">
        <w:rPr>
          <w:spacing w:val="-2"/>
        </w:rPr>
        <w:t xml:space="preserve"> ethics</w:t>
      </w:r>
      <w:r w:rsidRPr="00C07C3D">
        <w:rPr>
          <w:spacing w:val="-1"/>
        </w:rPr>
        <w:t xml:space="preserve"> </w:t>
      </w:r>
      <w:r>
        <w:t>approval and site governance authorisation before funding can be disbursed.</w:t>
      </w:r>
    </w:p>
    <w:p w14:paraId="2EECF5A3" w14:textId="77777777" w:rsidR="00AE424D" w:rsidRDefault="00AE424D" w:rsidP="00224AA1">
      <w:pPr>
        <w:spacing w:after="0"/>
        <w:rPr>
          <w:b/>
          <w:i/>
        </w:rPr>
      </w:pPr>
    </w:p>
    <w:p w14:paraId="176F1905" w14:textId="1A9D825A" w:rsidR="00482B5B" w:rsidRPr="0017278E" w:rsidRDefault="00482B5B" w:rsidP="00482B5B">
      <w:pPr>
        <w:rPr>
          <w:b/>
          <w:i/>
        </w:rPr>
      </w:pPr>
      <w:r>
        <w:rPr>
          <w:b/>
          <w:i/>
        </w:rPr>
        <w:t>Application Proces</w:t>
      </w:r>
      <w:r w:rsidR="005100AF">
        <w:rPr>
          <w:b/>
          <w:i/>
        </w:rPr>
        <w:t>s</w:t>
      </w:r>
    </w:p>
    <w:p w14:paraId="52AECA3D" w14:textId="0D184F18" w:rsidR="00482B5B" w:rsidRPr="00EA279F" w:rsidRDefault="00482B5B" w:rsidP="00482B5B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EA279F">
        <w:rPr>
          <w:rFonts w:eastAsia="Times New Roman" w:cstheme="minorHAnsi"/>
          <w:color w:val="000000"/>
          <w:lang w:val="en" w:eastAsia="en-AU"/>
        </w:rPr>
        <w:t xml:space="preserve">Applications open </w:t>
      </w:r>
      <w:r w:rsidR="00B12040">
        <w:rPr>
          <w:rFonts w:eastAsia="Times New Roman" w:cstheme="minorHAnsi"/>
          <w:color w:val="000000"/>
          <w:lang w:val="en" w:eastAsia="en-AU"/>
        </w:rPr>
        <w:t>1 January 2026</w:t>
      </w:r>
      <w:r w:rsidRPr="00EA279F">
        <w:rPr>
          <w:rFonts w:eastAsia="Times New Roman" w:cstheme="minorHAnsi"/>
          <w:color w:val="000000"/>
          <w:lang w:val="en" w:eastAsia="en-AU"/>
        </w:rPr>
        <w:t>.</w:t>
      </w:r>
    </w:p>
    <w:p w14:paraId="0CA217C7" w14:textId="2DCDCEA7" w:rsidR="002F282A" w:rsidRDefault="002F282A" w:rsidP="002F282A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>A</w:t>
      </w:r>
      <w:r w:rsidRPr="00EA279F">
        <w:rPr>
          <w:rFonts w:eastAsia="Times New Roman" w:cstheme="minorHAnsi"/>
          <w:color w:val="000000"/>
          <w:lang w:val="en" w:eastAsia="en-AU"/>
        </w:rPr>
        <w:t xml:space="preserve">pplications </w:t>
      </w:r>
      <w:r>
        <w:rPr>
          <w:rFonts w:eastAsia="Times New Roman" w:cstheme="minorHAnsi"/>
          <w:color w:val="000000"/>
          <w:lang w:val="en" w:eastAsia="en-AU"/>
        </w:rPr>
        <w:t>close 15 February 2026</w:t>
      </w:r>
      <w:r w:rsidRPr="00EA279F">
        <w:rPr>
          <w:rFonts w:eastAsia="Times New Roman" w:cstheme="minorHAnsi"/>
          <w:color w:val="000000"/>
          <w:lang w:val="en" w:eastAsia="en-AU"/>
        </w:rPr>
        <w:t>.</w:t>
      </w:r>
    </w:p>
    <w:p w14:paraId="7DA3837F" w14:textId="1111B135" w:rsidR="002F282A" w:rsidRDefault="002F282A" w:rsidP="002F282A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>Applicants must detail the research project, area, and existing/projected funding.</w:t>
      </w:r>
    </w:p>
    <w:p w14:paraId="2D451C26" w14:textId="506A25A6" w:rsidR="002F282A" w:rsidRDefault="002F282A" w:rsidP="002F282A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>Applicants must specify the impact of the grant on the project and their career.</w:t>
      </w:r>
    </w:p>
    <w:p w14:paraId="4167AB3E" w14:textId="77777777" w:rsidR="00482B5B" w:rsidRPr="00EA279F" w:rsidRDefault="00482B5B" w:rsidP="00482B5B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EA279F">
        <w:rPr>
          <w:rFonts w:eastAsia="Times New Roman" w:cstheme="minorHAnsi"/>
          <w:color w:val="000000"/>
          <w:lang w:val="en" w:eastAsia="en-AU"/>
        </w:rPr>
        <w:t>Individuals may submit 1 application only.</w:t>
      </w:r>
    </w:p>
    <w:p w14:paraId="5810159B" w14:textId="77777777" w:rsidR="00482B5B" w:rsidRPr="00EA279F" w:rsidRDefault="00482B5B" w:rsidP="00482B5B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EA279F">
        <w:rPr>
          <w:rFonts w:eastAsia="Times New Roman" w:cstheme="minorHAnsi"/>
          <w:color w:val="000000"/>
          <w:lang w:val="en" w:eastAsia="en-AU"/>
        </w:rPr>
        <w:t>It is recommended that applicants submit early to ensure the application is complete.</w:t>
      </w:r>
    </w:p>
    <w:p w14:paraId="7C19BB83" w14:textId="77777777" w:rsidR="00482B5B" w:rsidRPr="00EA279F" w:rsidRDefault="00482B5B" w:rsidP="00482B5B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EA279F">
        <w:rPr>
          <w:rFonts w:eastAsia="Times New Roman" w:cstheme="minorHAnsi"/>
          <w:color w:val="000000"/>
          <w:lang w:val="en" w:eastAsia="en-AU"/>
        </w:rPr>
        <w:t>There will be no extensions to the time frame for submission.</w:t>
      </w:r>
    </w:p>
    <w:p w14:paraId="27D42179" w14:textId="77777777" w:rsidR="00482B5B" w:rsidRDefault="00482B5B" w:rsidP="00EA279F">
      <w:pPr>
        <w:rPr>
          <w:b/>
          <w:i/>
          <w:lang w:val="en"/>
        </w:rPr>
      </w:pPr>
    </w:p>
    <w:p w14:paraId="3824A818" w14:textId="5CC5B596" w:rsidR="00325E7E" w:rsidRPr="00325E7E" w:rsidRDefault="00325E7E" w:rsidP="00EA279F">
      <w:pPr>
        <w:rPr>
          <w:b/>
          <w:i/>
        </w:rPr>
      </w:pPr>
      <w:r w:rsidRPr="00325E7E">
        <w:rPr>
          <w:b/>
          <w:i/>
        </w:rPr>
        <w:t>Selection criteria</w:t>
      </w:r>
    </w:p>
    <w:p w14:paraId="71518293" w14:textId="49442C07" w:rsidR="00325E7E" w:rsidRDefault="00473401" w:rsidP="00224AA1">
      <w:pPr>
        <w:spacing w:after="0"/>
      </w:pPr>
      <w:r>
        <w:t xml:space="preserve">Selection of successful applicants will be via a formal competitive process. </w:t>
      </w:r>
      <w:r w:rsidR="00DB6F5E">
        <w:t xml:space="preserve"> </w:t>
      </w:r>
      <w:r w:rsidR="00325E7E">
        <w:t>All criteria are assessed relative to opportunity including:</w:t>
      </w:r>
    </w:p>
    <w:p w14:paraId="5F0B23C8" w14:textId="1F48154E" w:rsidR="00325E7E" w:rsidRPr="00EA279F" w:rsidRDefault="00C34E80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EA279F">
        <w:rPr>
          <w:rFonts w:eastAsia="Times New Roman" w:cstheme="minorHAnsi"/>
          <w:color w:val="000000"/>
          <w:lang w:val="en" w:eastAsia="en-AU"/>
        </w:rPr>
        <w:t>s</w:t>
      </w:r>
      <w:r w:rsidR="00325E7E" w:rsidRPr="00EA279F">
        <w:rPr>
          <w:rFonts w:eastAsia="Times New Roman" w:cstheme="minorHAnsi"/>
          <w:color w:val="000000"/>
          <w:lang w:val="en" w:eastAsia="en-AU"/>
        </w:rPr>
        <w:t>trength of clinical, professional and academic achievements</w:t>
      </w:r>
      <w:r w:rsidR="008C2360" w:rsidRPr="00EA279F">
        <w:rPr>
          <w:rFonts w:eastAsia="Times New Roman" w:cstheme="minorHAnsi"/>
          <w:color w:val="000000"/>
          <w:lang w:val="en" w:eastAsia="en-AU"/>
        </w:rPr>
        <w:t xml:space="preserve"> (track record)</w:t>
      </w:r>
    </w:p>
    <w:p w14:paraId="49689C87" w14:textId="6FCA35B6" w:rsidR="00325E7E" w:rsidRPr="00EA279F" w:rsidRDefault="00C34E80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EA279F">
        <w:rPr>
          <w:rFonts w:eastAsia="Times New Roman" w:cstheme="minorHAnsi"/>
          <w:color w:val="000000"/>
          <w:lang w:val="en" w:eastAsia="en-AU"/>
        </w:rPr>
        <w:t>q</w:t>
      </w:r>
      <w:r w:rsidR="00E755E6" w:rsidRPr="00EA279F">
        <w:rPr>
          <w:rFonts w:eastAsia="Times New Roman" w:cstheme="minorHAnsi"/>
          <w:color w:val="000000"/>
          <w:lang w:val="en" w:eastAsia="en-AU"/>
        </w:rPr>
        <w:t>uality of the proposed research and significance of the knowledge gained and/or r</w:t>
      </w:r>
      <w:r w:rsidR="00325E7E" w:rsidRPr="00EA279F">
        <w:rPr>
          <w:rFonts w:eastAsia="Times New Roman" w:cstheme="minorHAnsi"/>
          <w:color w:val="000000"/>
          <w:lang w:val="en" w:eastAsia="en-AU"/>
        </w:rPr>
        <w:t xml:space="preserve">elevance to the </w:t>
      </w:r>
      <w:hyperlink r:id="rId8" w:history="1">
        <w:r w:rsidR="00325E7E" w:rsidRPr="008E5611">
          <w:rPr>
            <w:rStyle w:val="Hyperlink"/>
            <w:rFonts w:eastAsia="Times New Roman" w:cstheme="minorHAnsi"/>
            <w:lang w:val="en" w:eastAsia="en-AU"/>
          </w:rPr>
          <w:t>priorities</w:t>
        </w:r>
      </w:hyperlink>
      <w:r w:rsidR="00325E7E" w:rsidRPr="00EA279F">
        <w:rPr>
          <w:rFonts w:eastAsia="Times New Roman" w:cstheme="minorHAnsi"/>
          <w:color w:val="000000"/>
          <w:lang w:val="en" w:eastAsia="en-AU"/>
        </w:rPr>
        <w:t xml:space="preserve"> at the Eye </w:t>
      </w:r>
      <w:r w:rsidR="00B7168D" w:rsidRPr="00EA279F">
        <w:rPr>
          <w:rFonts w:eastAsia="Times New Roman" w:cstheme="minorHAnsi"/>
          <w:color w:val="000000"/>
          <w:lang w:val="en" w:eastAsia="en-AU"/>
        </w:rPr>
        <w:t xml:space="preserve">and </w:t>
      </w:r>
      <w:r w:rsidR="00325E7E" w:rsidRPr="00EA279F">
        <w:rPr>
          <w:rFonts w:eastAsia="Times New Roman" w:cstheme="minorHAnsi"/>
          <w:color w:val="000000"/>
          <w:lang w:val="en" w:eastAsia="en-AU"/>
        </w:rPr>
        <w:t>Ear Hospital</w:t>
      </w:r>
    </w:p>
    <w:p w14:paraId="4D49BDF6" w14:textId="681B380B" w:rsidR="00AE424D" w:rsidRPr="00EA279F" w:rsidRDefault="00C34E80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EA279F">
        <w:rPr>
          <w:rFonts w:eastAsia="Times New Roman" w:cstheme="minorHAnsi"/>
          <w:color w:val="000000"/>
          <w:lang w:val="en" w:eastAsia="en-AU"/>
        </w:rPr>
        <w:t>d</w:t>
      </w:r>
      <w:r w:rsidR="00AE424D" w:rsidRPr="00EA279F">
        <w:rPr>
          <w:rFonts w:eastAsia="Times New Roman" w:cstheme="minorHAnsi"/>
          <w:color w:val="000000"/>
          <w:lang w:val="en" w:eastAsia="en-AU"/>
        </w:rPr>
        <w:t xml:space="preserve">emonstrated commitment to a career at the Eye and Ear Hospital </w:t>
      </w:r>
    </w:p>
    <w:p w14:paraId="210954D2" w14:textId="34863877" w:rsidR="00325E7E" w:rsidRPr="00EA279F" w:rsidRDefault="00C34E80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EA279F">
        <w:rPr>
          <w:rFonts w:eastAsia="Times New Roman" w:cstheme="minorHAnsi"/>
          <w:color w:val="000000"/>
          <w:lang w:val="en" w:eastAsia="en-AU"/>
        </w:rPr>
        <w:t>d</w:t>
      </w:r>
      <w:r w:rsidR="00325E7E" w:rsidRPr="00EA279F">
        <w:rPr>
          <w:rFonts w:eastAsia="Times New Roman" w:cstheme="minorHAnsi"/>
          <w:color w:val="000000"/>
          <w:lang w:val="en" w:eastAsia="en-AU"/>
        </w:rPr>
        <w:t xml:space="preserve">emonstrated commitment to translating research into practice </w:t>
      </w:r>
    </w:p>
    <w:p w14:paraId="08F4581C" w14:textId="05601F64" w:rsidR="00325E7E" w:rsidRPr="00EA279F" w:rsidRDefault="00C34E80" w:rsidP="00EA279F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 w:rsidRPr="00EA279F">
        <w:rPr>
          <w:rFonts w:eastAsia="Times New Roman" w:cstheme="minorHAnsi"/>
          <w:color w:val="000000"/>
          <w:lang w:val="en" w:eastAsia="en-AU"/>
        </w:rPr>
        <w:t>c</w:t>
      </w:r>
      <w:r w:rsidR="00325E7E" w:rsidRPr="00EA279F">
        <w:rPr>
          <w:rFonts w:eastAsia="Times New Roman" w:cstheme="minorHAnsi"/>
          <w:color w:val="000000"/>
          <w:lang w:val="en" w:eastAsia="en-AU"/>
        </w:rPr>
        <w:t xml:space="preserve">larity of career goals and synergy with the </w:t>
      </w:r>
      <w:r w:rsidR="00C07C3D">
        <w:rPr>
          <w:rFonts w:eastAsia="Times New Roman" w:cstheme="minorHAnsi"/>
          <w:color w:val="000000"/>
          <w:lang w:val="en" w:eastAsia="en-AU"/>
        </w:rPr>
        <w:t>objectives</w:t>
      </w:r>
      <w:r w:rsidR="00C07C3D" w:rsidRPr="00EA279F">
        <w:rPr>
          <w:rFonts w:eastAsia="Times New Roman" w:cstheme="minorHAnsi"/>
          <w:color w:val="000000"/>
          <w:lang w:val="en" w:eastAsia="en-AU"/>
        </w:rPr>
        <w:t xml:space="preserve"> </w:t>
      </w:r>
      <w:r w:rsidR="00325E7E" w:rsidRPr="00EA279F">
        <w:rPr>
          <w:rFonts w:eastAsia="Times New Roman" w:cstheme="minorHAnsi"/>
          <w:color w:val="000000"/>
          <w:lang w:val="en" w:eastAsia="en-AU"/>
        </w:rPr>
        <w:t>of the grants</w:t>
      </w:r>
      <w:r w:rsidRPr="00EA279F">
        <w:rPr>
          <w:rFonts w:eastAsia="Times New Roman" w:cstheme="minorHAnsi"/>
          <w:color w:val="000000"/>
          <w:lang w:val="en" w:eastAsia="en-AU"/>
        </w:rPr>
        <w:t>.</w:t>
      </w:r>
    </w:p>
    <w:p w14:paraId="2EA01CCF" w14:textId="77777777" w:rsidR="007935C0" w:rsidRDefault="007935C0" w:rsidP="00787999">
      <w:pPr>
        <w:rPr>
          <w:bCs/>
          <w:i/>
        </w:rPr>
      </w:pPr>
    </w:p>
    <w:p w14:paraId="792795C8" w14:textId="645511FE" w:rsidR="003D374F" w:rsidRPr="004D6D19" w:rsidRDefault="003D374F" w:rsidP="00787999">
      <w:pPr>
        <w:rPr>
          <w:b/>
          <w:i/>
        </w:rPr>
      </w:pPr>
      <w:r w:rsidRPr="004D6D19">
        <w:rPr>
          <w:b/>
          <w:i/>
        </w:rPr>
        <w:t>The process for selection</w:t>
      </w:r>
    </w:p>
    <w:p w14:paraId="7EAA1D01" w14:textId="31B5FD4F" w:rsidR="003D374F" w:rsidRPr="00EA279F" w:rsidRDefault="00E7001E" w:rsidP="00EA279F">
      <w:pPr>
        <w:spacing w:before="240" w:after="0"/>
      </w:pPr>
      <w:r w:rsidRPr="00EA279F">
        <w:t>Applications</w:t>
      </w:r>
      <w:r w:rsidR="003D374F" w:rsidRPr="00EA279F">
        <w:t xml:space="preserve"> will be shortlisted by members of a selection panel which includes members of the Eye and Ear Research Committee.</w:t>
      </w:r>
    </w:p>
    <w:p w14:paraId="5F27993C" w14:textId="53A0F919" w:rsidR="003D374F" w:rsidRPr="00EA279F" w:rsidRDefault="003D374F" w:rsidP="00EA279F">
      <w:pPr>
        <w:spacing w:before="240" w:after="0"/>
      </w:pPr>
      <w:r w:rsidRPr="00EA279F">
        <w:t xml:space="preserve">It is anticipated that interviews will be held </w:t>
      </w:r>
      <w:r w:rsidR="00201A57" w:rsidRPr="00EA279F">
        <w:t>in</w:t>
      </w:r>
      <w:r w:rsidRPr="00EA279F">
        <w:t xml:space="preserve"> </w:t>
      </w:r>
      <w:r w:rsidR="002F282A">
        <w:t>March 2026</w:t>
      </w:r>
      <w:r w:rsidRPr="00EA279F">
        <w:t>.</w:t>
      </w:r>
    </w:p>
    <w:p w14:paraId="79995500" w14:textId="4BA72B56" w:rsidR="003D374F" w:rsidRPr="00EA279F" w:rsidRDefault="003D374F" w:rsidP="00EA279F">
      <w:pPr>
        <w:spacing w:before="240" w:after="0"/>
      </w:pPr>
      <w:r w:rsidRPr="00EA279F">
        <w:t xml:space="preserve">Short listed applicants will be </w:t>
      </w:r>
      <w:r w:rsidR="00EA279F" w:rsidRPr="00EA279F">
        <w:t>interviewed,</w:t>
      </w:r>
      <w:r w:rsidRPr="00EA279F">
        <w:t xml:space="preserve"> and successful recipients</w:t>
      </w:r>
      <w:r w:rsidR="00EA279F" w:rsidRPr="00EA279F">
        <w:t xml:space="preserve"> </w:t>
      </w:r>
      <w:r w:rsidRPr="00EA279F">
        <w:t xml:space="preserve">notified by </w:t>
      </w:r>
      <w:r w:rsidR="002F282A">
        <w:t>30 April 2026</w:t>
      </w:r>
      <w:r w:rsidRPr="00EA279F">
        <w:t>.</w:t>
      </w:r>
    </w:p>
    <w:p w14:paraId="39552CB5" w14:textId="77777777" w:rsidR="00DB6F5E" w:rsidRDefault="00DB6F5E" w:rsidP="00224AA1">
      <w:pPr>
        <w:spacing w:after="0"/>
      </w:pPr>
    </w:p>
    <w:p w14:paraId="5E841FB9" w14:textId="7AB24FFB" w:rsidR="002F282A" w:rsidRPr="00224AA1" w:rsidRDefault="002F282A" w:rsidP="002F282A">
      <w:pPr>
        <w:shd w:val="clear" w:color="auto" w:fill="FFFFFF"/>
        <w:spacing w:line="240" w:lineRule="auto"/>
        <w:rPr>
          <w:b/>
          <w:i/>
        </w:rPr>
      </w:pPr>
      <w:r>
        <w:rPr>
          <w:b/>
          <w:i/>
        </w:rPr>
        <w:t>Reporting Requirements</w:t>
      </w:r>
    </w:p>
    <w:p w14:paraId="5726A667" w14:textId="0F1F63AD" w:rsidR="002F282A" w:rsidRDefault="002F282A" w:rsidP="002F282A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>Six monthly and annual/final progress reports required</w:t>
      </w:r>
      <w:r w:rsidR="00912ACC">
        <w:rPr>
          <w:rFonts w:eastAsia="Times New Roman" w:cstheme="minorHAnsi"/>
          <w:color w:val="000000"/>
          <w:lang w:val="en" w:eastAsia="en-AU"/>
        </w:rPr>
        <w:t>,</w:t>
      </w:r>
    </w:p>
    <w:p w14:paraId="18D12F73" w14:textId="1DF8ED2E" w:rsidR="002F282A" w:rsidRPr="002F282A" w:rsidRDefault="002F282A" w:rsidP="002F282A">
      <w:pPr>
        <w:numPr>
          <w:ilvl w:val="0"/>
          <w:numId w:val="5"/>
        </w:numPr>
        <w:shd w:val="clear" w:color="auto" w:fill="FFFFFF"/>
        <w:spacing w:after="0"/>
        <w:ind w:left="360"/>
        <w:rPr>
          <w:rFonts w:eastAsia="Times New Roman" w:cstheme="minorHAnsi"/>
          <w:color w:val="000000"/>
          <w:lang w:val="en" w:eastAsia="en-AU"/>
        </w:rPr>
      </w:pPr>
      <w:r>
        <w:rPr>
          <w:rFonts w:eastAsia="Times New Roman" w:cstheme="minorHAnsi"/>
          <w:color w:val="000000"/>
          <w:lang w:val="en" w:eastAsia="en-AU"/>
        </w:rPr>
        <w:t>Participation in an annual presentation day for grant recipients</w:t>
      </w:r>
      <w:r w:rsidR="00912ACC">
        <w:rPr>
          <w:rFonts w:eastAsia="Times New Roman" w:cstheme="minorHAnsi"/>
          <w:color w:val="000000"/>
          <w:lang w:val="en" w:eastAsia="en-AU"/>
        </w:rPr>
        <w:t>.</w:t>
      </w:r>
    </w:p>
    <w:p w14:paraId="23B6C260" w14:textId="77777777" w:rsidR="002F282A" w:rsidRDefault="002F282A" w:rsidP="002F282A">
      <w:pPr>
        <w:rPr>
          <w:b/>
          <w:i/>
        </w:rPr>
      </w:pPr>
    </w:p>
    <w:p w14:paraId="7D625A2B" w14:textId="6A002C77" w:rsidR="0017278E" w:rsidRDefault="0017278E" w:rsidP="002F282A">
      <w:pPr>
        <w:rPr>
          <w:b/>
          <w:i/>
        </w:rPr>
      </w:pPr>
      <w:r>
        <w:rPr>
          <w:b/>
          <w:i/>
        </w:rPr>
        <w:t>Primary Contacts</w:t>
      </w:r>
    </w:p>
    <w:p w14:paraId="4216641E" w14:textId="77777777" w:rsidR="00EA279F" w:rsidRPr="0017278E" w:rsidRDefault="00201A57" w:rsidP="00EA279F">
      <w:pPr>
        <w:spacing w:after="0" w:line="240" w:lineRule="auto"/>
      </w:pPr>
      <w:r>
        <w:t>Associate Professor Peter Keller</w:t>
      </w:r>
      <w:r w:rsidR="00EA279F">
        <w:tab/>
      </w:r>
      <w:r w:rsidR="00EA279F">
        <w:tab/>
      </w:r>
      <w:r w:rsidR="00EA279F">
        <w:tab/>
      </w:r>
      <w:r w:rsidR="00EA279F">
        <w:tab/>
        <w:t>Dr Birinder Giddey</w:t>
      </w:r>
    </w:p>
    <w:p w14:paraId="36A78CB3" w14:textId="2D4F539F" w:rsidR="0017278E" w:rsidRDefault="0017278E" w:rsidP="002C2A08">
      <w:pPr>
        <w:spacing w:after="0" w:line="240" w:lineRule="auto"/>
      </w:pPr>
      <w:r w:rsidRPr="0017278E">
        <w:t>Research Manager</w:t>
      </w:r>
      <w:r w:rsidR="00EA279F">
        <w:tab/>
      </w:r>
      <w:r w:rsidR="00EA279F">
        <w:tab/>
      </w:r>
      <w:r w:rsidR="00EA279F">
        <w:tab/>
      </w:r>
      <w:r w:rsidR="00EA279F">
        <w:tab/>
      </w:r>
      <w:r w:rsidR="00EA279F">
        <w:tab/>
        <w:t xml:space="preserve">Executive </w:t>
      </w:r>
      <w:r w:rsidR="00EA279F" w:rsidRPr="0017278E">
        <w:t>Director, Medical Services</w:t>
      </w:r>
    </w:p>
    <w:p w14:paraId="6557AC88" w14:textId="6FC68A78" w:rsidR="00EA279F" w:rsidRDefault="00201A57" w:rsidP="00EA279F">
      <w:pPr>
        <w:spacing w:after="0" w:line="240" w:lineRule="auto"/>
      </w:pPr>
      <w:hyperlink r:id="rId9" w:history="1">
        <w:r w:rsidRPr="00B14E16">
          <w:rPr>
            <w:rStyle w:val="Hyperlink"/>
          </w:rPr>
          <w:t>peter.keller@eyeandear.org.au</w:t>
        </w:r>
      </w:hyperlink>
      <w:r w:rsidR="0017278E">
        <w:t xml:space="preserve"> </w:t>
      </w:r>
      <w:r w:rsidR="00EA279F">
        <w:tab/>
      </w:r>
      <w:r w:rsidR="00EA279F">
        <w:tab/>
      </w:r>
      <w:r w:rsidR="00EA279F">
        <w:tab/>
      </w:r>
      <w:r w:rsidR="00EA279F">
        <w:tab/>
      </w:r>
      <w:bookmarkStart w:id="1" w:name="_Hlk215581600"/>
      <w:r w:rsidR="00787999">
        <w:fldChar w:fldCharType="begin"/>
      </w:r>
      <w:r w:rsidR="00787999">
        <w:instrText>HYPERLINK "mailto:birinder.giddey@eyeandear.org.au"</w:instrText>
      </w:r>
      <w:r w:rsidR="00787999">
        <w:fldChar w:fldCharType="separate"/>
      </w:r>
      <w:r w:rsidR="00787999" w:rsidRPr="00907E06">
        <w:rPr>
          <w:rStyle w:val="Hyperlink"/>
        </w:rPr>
        <w:t>birinder.giddey@eyeandear.org.au</w:t>
      </w:r>
      <w:r w:rsidR="00787999">
        <w:fldChar w:fldCharType="end"/>
      </w:r>
      <w:r w:rsidR="00787999">
        <w:t xml:space="preserve"> </w:t>
      </w:r>
      <w:bookmarkEnd w:id="1"/>
    </w:p>
    <w:p w14:paraId="59E85968" w14:textId="77777777" w:rsidR="00787999" w:rsidRDefault="00787999" w:rsidP="00787999">
      <w:pPr>
        <w:pStyle w:val="BodyText"/>
        <w:tabs>
          <w:tab w:val="left" w:pos="5062"/>
        </w:tabs>
        <w:ind w:left="23" w:right="873"/>
      </w:pPr>
      <w:r>
        <w:t>tel: (03) 9929 8348</w:t>
      </w:r>
    </w:p>
    <w:p w14:paraId="329003A3" w14:textId="77777777" w:rsidR="00787999" w:rsidRPr="0017278E" w:rsidRDefault="00787999" w:rsidP="00EA279F">
      <w:pPr>
        <w:spacing w:after="0" w:line="240" w:lineRule="auto"/>
      </w:pPr>
    </w:p>
    <w:p w14:paraId="3CBFE5DD" w14:textId="665034EC" w:rsidR="00DB6F5E" w:rsidRDefault="00DB6F5E" w:rsidP="00224AA1">
      <w:pPr>
        <w:spacing w:after="0"/>
      </w:pPr>
    </w:p>
    <w:sectPr w:rsidR="00DB6F5E" w:rsidSect="004D6D19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585D" w14:textId="77777777" w:rsidR="008042F3" w:rsidRDefault="008042F3" w:rsidP="00AE424D">
      <w:pPr>
        <w:spacing w:after="0" w:line="240" w:lineRule="auto"/>
      </w:pPr>
      <w:r>
        <w:separator/>
      </w:r>
    </w:p>
  </w:endnote>
  <w:endnote w:type="continuationSeparator" w:id="0">
    <w:p w14:paraId="616E04E6" w14:textId="77777777" w:rsidR="008042F3" w:rsidRDefault="008042F3" w:rsidP="00AE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653" w14:textId="6CBBD260" w:rsidR="002C2A08" w:rsidRPr="002C2A08" w:rsidRDefault="002C2A08" w:rsidP="002C2A08">
    <w:pPr>
      <w:pStyle w:val="Footer"/>
      <w:tabs>
        <w:tab w:val="clear" w:pos="4513"/>
        <w:tab w:val="center" w:pos="8647"/>
      </w:tabs>
      <w:rPr>
        <w:sz w:val="16"/>
      </w:rPr>
    </w:pPr>
    <w:r w:rsidRPr="002C2A08">
      <w:rPr>
        <w:sz w:val="16"/>
      </w:rPr>
      <w:t>Early Research Career Support Grants 202</w:t>
    </w:r>
    <w:r w:rsidR="002F282A">
      <w:rPr>
        <w:sz w:val="16"/>
      </w:rPr>
      <w:t>6</w:t>
    </w:r>
    <w:r w:rsidRPr="002C2A08">
      <w:rPr>
        <w:sz w:val="16"/>
      </w:rPr>
      <w:t xml:space="preserve"> Guidelines version </w:t>
    </w:r>
    <w:r w:rsidR="00C34E80">
      <w:rPr>
        <w:sz w:val="16"/>
      </w:rPr>
      <w:t>1</w:t>
    </w:r>
    <w:r w:rsidR="004D6D19">
      <w:rPr>
        <w:sz w:val="16"/>
      </w:rPr>
      <w:t>.1</w:t>
    </w:r>
    <w:r w:rsidR="00C34E80">
      <w:rPr>
        <w:sz w:val="16"/>
      </w:rPr>
      <w:t xml:space="preserve"> dated </w:t>
    </w:r>
    <w:r w:rsidR="004D6D19">
      <w:rPr>
        <w:sz w:val="16"/>
      </w:rPr>
      <w:t>9</w:t>
    </w:r>
    <w:r w:rsidR="002F282A">
      <w:rPr>
        <w:sz w:val="16"/>
      </w:rPr>
      <w:t xml:space="preserve"> December 2025</w:t>
    </w:r>
    <w:r w:rsidRPr="002C2A08">
      <w:rPr>
        <w:sz w:val="16"/>
      </w:rPr>
      <w:tab/>
    </w:r>
    <w:sdt>
      <w:sdtPr>
        <w:rPr>
          <w:i/>
          <w:sz w:val="16"/>
        </w:rPr>
        <w:id w:val="36164174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 w:val="16"/>
            </w:rPr>
            <w:id w:val="641312772"/>
            <w:docPartObj>
              <w:docPartGallery w:val="Page Numbers (Top of Page)"/>
              <w:docPartUnique/>
            </w:docPartObj>
          </w:sdtPr>
          <w:sdtEndPr/>
          <w:sdtContent>
            <w:r w:rsidRPr="002C2A08">
              <w:rPr>
                <w:i/>
                <w:sz w:val="16"/>
              </w:rPr>
              <w:t xml:space="preserve">Page </w:t>
            </w:r>
            <w:r w:rsidRPr="002C2A08">
              <w:rPr>
                <w:bCs/>
                <w:i/>
                <w:sz w:val="18"/>
                <w:szCs w:val="24"/>
              </w:rPr>
              <w:fldChar w:fldCharType="begin"/>
            </w:r>
            <w:r w:rsidRPr="002C2A08">
              <w:rPr>
                <w:bCs/>
                <w:i/>
                <w:sz w:val="16"/>
              </w:rPr>
              <w:instrText xml:space="preserve"> PAGE </w:instrText>
            </w:r>
            <w:r w:rsidRPr="002C2A08">
              <w:rPr>
                <w:bCs/>
                <w:i/>
                <w:sz w:val="18"/>
                <w:szCs w:val="24"/>
              </w:rPr>
              <w:fldChar w:fldCharType="separate"/>
            </w:r>
            <w:r w:rsidR="003D374F">
              <w:rPr>
                <w:bCs/>
                <w:i/>
                <w:noProof/>
                <w:sz w:val="16"/>
              </w:rPr>
              <w:t>2</w:t>
            </w:r>
            <w:r w:rsidRPr="002C2A08">
              <w:rPr>
                <w:bCs/>
                <w:i/>
                <w:sz w:val="18"/>
                <w:szCs w:val="24"/>
              </w:rPr>
              <w:fldChar w:fldCharType="end"/>
            </w:r>
            <w:r w:rsidRPr="002C2A08">
              <w:rPr>
                <w:i/>
                <w:sz w:val="16"/>
              </w:rPr>
              <w:t xml:space="preserve"> of </w:t>
            </w:r>
            <w:r w:rsidRPr="002C2A08">
              <w:rPr>
                <w:bCs/>
                <w:i/>
                <w:sz w:val="18"/>
                <w:szCs w:val="24"/>
              </w:rPr>
              <w:fldChar w:fldCharType="begin"/>
            </w:r>
            <w:r w:rsidRPr="002C2A08">
              <w:rPr>
                <w:bCs/>
                <w:i/>
                <w:sz w:val="16"/>
              </w:rPr>
              <w:instrText xml:space="preserve"> NUMPAGES  </w:instrText>
            </w:r>
            <w:r w:rsidRPr="002C2A08">
              <w:rPr>
                <w:bCs/>
                <w:i/>
                <w:sz w:val="18"/>
                <w:szCs w:val="24"/>
              </w:rPr>
              <w:fldChar w:fldCharType="separate"/>
            </w:r>
            <w:r w:rsidR="003D374F">
              <w:rPr>
                <w:bCs/>
                <w:i/>
                <w:noProof/>
                <w:sz w:val="16"/>
              </w:rPr>
              <w:t>3</w:t>
            </w:r>
            <w:r w:rsidRPr="002C2A08">
              <w:rPr>
                <w:bCs/>
                <w:i/>
                <w:sz w:val="18"/>
                <w:szCs w:val="24"/>
              </w:rPr>
              <w:fldChar w:fldCharType="end"/>
            </w:r>
          </w:sdtContent>
        </w:sdt>
      </w:sdtContent>
    </w:sdt>
  </w:p>
  <w:p w14:paraId="1782D0F5" w14:textId="77777777" w:rsidR="00AE424D" w:rsidRDefault="00AE4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3D21" w14:textId="77777777" w:rsidR="008042F3" w:rsidRDefault="008042F3" w:rsidP="00AE424D">
      <w:pPr>
        <w:spacing w:after="0" w:line="240" w:lineRule="auto"/>
      </w:pPr>
      <w:r>
        <w:separator/>
      </w:r>
    </w:p>
  </w:footnote>
  <w:footnote w:type="continuationSeparator" w:id="0">
    <w:p w14:paraId="43222C26" w14:textId="77777777" w:rsidR="008042F3" w:rsidRDefault="008042F3" w:rsidP="00AE4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01F8"/>
    <w:multiLevelType w:val="hybridMultilevel"/>
    <w:tmpl w:val="6C4AB5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F6DDD"/>
    <w:multiLevelType w:val="hybridMultilevel"/>
    <w:tmpl w:val="0D224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D08D4"/>
    <w:multiLevelType w:val="hybridMultilevel"/>
    <w:tmpl w:val="C3D66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D56BE"/>
    <w:multiLevelType w:val="hybridMultilevel"/>
    <w:tmpl w:val="E092F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D298A"/>
    <w:multiLevelType w:val="hybridMultilevel"/>
    <w:tmpl w:val="B1046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14618"/>
    <w:multiLevelType w:val="multilevel"/>
    <w:tmpl w:val="913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7117F"/>
    <w:multiLevelType w:val="hybridMultilevel"/>
    <w:tmpl w:val="ED12679C"/>
    <w:lvl w:ilvl="0" w:tplc="5F98A1D8">
      <w:numFmt w:val="bullet"/>
      <w:lvlText w:val=""/>
      <w:lvlJc w:val="left"/>
      <w:pPr>
        <w:ind w:left="3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5261374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98465CDE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 w:tplc="317E0E7C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20CA60EC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A1524ED6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 w:tplc="FFA038BE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 w:tplc="42562C26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 w:tplc="F6082A5A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</w:abstractNum>
  <w:num w:numId="1" w16cid:durableId="1297639475">
    <w:abstractNumId w:val="0"/>
  </w:num>
  <w:num w:numId="2" w16cid:durableId="2145082142">
    <w:abstractNumId w:val="4"/>
  </w:num>
  <w:num w:numId="3" w16cid:durableId="173806540">
    <w:abstractNumId w:val="2"/>
  </w:num>
  <w:num w:numId="4" w16cid:durableId="1184126152">
    <w:abstractNumId w:val="1"/>
  </w:num>
  <w:num w:numId="5" w16cid:durableId="1554583803">
    <w:abstractNumId w:val="5"/>
  </w:num>
  <w:num w:numId="6" w16cid:durableId="718549675">
    <w:abstractNumId w:val="3"/>
  </w:num>
  <w:num w:numId="7" w16cid:durableId="168714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A1"/>
    <w:rsid w:val="0001566C"/>
    <w:rsid w:val="00016E35"/>
    <w:rsid w:val="000512C1"/>
    <w:rsid w:val="000605D1"/>
    <w:rsid w:val="000669BD"/>
    <w:rsid w:val="00131EC8"/>
    <w:rsid w:val="001517FE"/>
    <w:rsid w:val="0017278E"/>
    <w:rsid w:val="001C698E"/>
    <w:rsid w:val="001F1F63"/>
    <w:rsid w:val="001F6249"/>
    <w:rsid w:val="00201A57"/>
    <w:rsid w:val="00207ED6"/>
    <w:rsid w:val="00224AA1"/>
    <w:rsid w:val="0025528F"/>
    <w:rsid w:val="002821D4"/>
    <w:rsid w:val="00282218"/>
    <w:rsid w:val="00295930"/>
    <w:rsid w:val="002C2A08"/>
    <w:rsid w:val="002C6B5F"/>
    <w:rsid w:val="002F25A7"/>
    <w:rsid w:val="002F282A"/>
    <w:rsid w:val="00305ACC"/>
    <w:rsid w:val="00312E71"/>
    <w:rsid w:val="00325E7E"/>
    <w:rsid w:val="003347A2"/>
    <w:rsid w:val="003D374F"/>
    <w:rsid w:val="003E53DA"/>
    <w:rsid w:val="00430EB0"/>
    <w:rsid w:val="00473401"/>
    <w:rsid w:val="00482B5B"/>
    <w:rsid w:val="00486849"/>
    <w:rsid w:val="0049760B"/>
    <w:rsid w:val="004A39D6"/>
    <w:rsid w:val="004C01A8"/>
    <w:rsid w:val="004D6D19"/>
    <w:rsid w:val="005100AF"/>
    <w:rsid w:val="0056547D"/>
    <w:rsid w:val="00593393"/>
    <w:rsid w:val="005E2C59"/>
    <w:rsid w:val="006449E1"/>
    <w:rsid w:val="0065179F"/>
    <w:rsid w:val="00665922"/>
    <w:rsid w:val="00667197"/>
    <w:rsid w:val="00694071"/>
    <w:rsid w:val="006D7167"/>
    <w:rsid w:val="00720493"/>
    <w:rsid w:val="0077161E"/>
    <w:rsid w:val="00787999"/>
    <w:rsid w:val="007935C0"/>
    <w:rsid w:val="008042F3"/>
    <w:rsid w:val="00804622"/>
    <w:rsid w:val="008C1D8D"/>
    <w:rsid w:val="008C2360"/>
    <w:rsid w:val="008E5611"/>
    <w:rsid w:val="00912ACC"/>
    <w:rsid w:val="0091565A"/>
    <w:rsid w:val="00970E45"/>
    <w:rsid w:val="00980029"/>
    <w:rsid w:val="009C5DAF"/>
    <w:rsid w:val="009E08A7"/>
    <w:rsid w:val="00A37562"/>
    <w:rsid w:val="00AE424D"/>
    <w:rsid w:val="00B12040"/>
    <w:rsid w:val="00B7168D"/>
    <w:rsid w:val="00B74F0F"/>
    <w:rsid w:val="00C07C3D"/>
    <w:rsid w:val="00C33213"/>
    <w:rsid w:val="00C34E80"/>
    <w:rsid w:val="00D408F3"/>
    <w:rsid w:val="00D72B96"/>
    <w:rsid w:val="00DB6F5E"/>
    <w:rsid w:val="00DD0496"/>
    <w:rsid w:val="00E06CB6"/>
    <w:rsid w:val="00E57882"/>
    <w:rsid w:val="00E7001E"/>
    <w:rsid w:val="00E755E6"/>
    <w:rsid w:val="00E77598"/>
    <w:rsid w:val="00E900FC"/>
    <w:rsid w:val="00EA279F"/>
    <w:rsid w:val="00EB3874"/>
    <w:rsid w:val="00F1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A86F9"/>
  <w15:docId w15:val="{64B33DB6-97AD-49A2-A7F1-8C534414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25E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1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1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2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24D"/>
  </w:style>
  <w:style w:type="paragraph" w:styleId="Footer">
    <w:name w:val="footer"/>
    <w:basedOn w:val="Normal"/>
    <w:link w:val="FooterChar"/>
    <w:uiPriority w:val="99"/>
    <w:unhideWhenUsed/>
    <w:rsid w:val="00AE4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24D"/>
  </w:style>
  <w:style w:type="table" w:styleId="TableGrid">
    <w:name w:val="Table Grid"/>
    <w:basedOn w:val="TableNormal"/>
    <w:uiPriority w:val="59"/>
    <w:rsid w:val="00DB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27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D37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01A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1A5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08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82B5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D71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D71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D7167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yeandear.org.au/wp-content/uploads/2025/12/RVEEH-Research-Strategy-2025-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ter.keller@eyeandear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FEB2-71E2-47C3-9C71-6864F620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569</Words>
  <Characters>3297</Characters>
  <Application>Microsoft Office Word</Application>
  <DocSecurity>0</DocSecurity>
  <Lines>77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rveeh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Clarke</dc:creator>
  <cp:lastModifiedBy>Kerryn Baker</cp:lastModifiedBy>
  <cp:revision>5</cp:revision>
  <cp:lastPrinted>2025-12-09T00:19:00Z</cp:lastPrinted>
  <dcterms:created xsi:type="dcterms:W3CDTF">2025-12-09T00:11:00Z</dcterms:created>
  <dcterms:modified xsi:type="dcterms:W3CDTF">2025-12-09T00:56:00Z</dcterms:modified>
</cp:coreProperties>
</file>