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729B" w14:textId="77777777" w:rsidR="00151C88" w:rsidRPr="002112CD" w:rsidRDefault="000C39A1" w:rsidP="00067795">
      <w:pPr>
        <w:contextualSpacing/>
        <w:jc w:val="center"/>
        <w:rPr>
          <w:rFonts w:ascii="Verdana" w:hAnsi="Verdana"/>
          <w:sz w:val="12"/>
          <w:szCs w:val="12"/>
        </w:rPr>
      </w:pPr>
      <w:r w:rsidRPr="002112CD">
        <w:rPr>
          <w:rFonts w:ascii="Verdana" w:hAnsi="Verdana"/>
          <w:b/>
          <w:bCs/>
          <w:color w:val="1F3864"/>
          <w:sz w:val="28"/>
          <w:szCs w:val="28"/>
        </w:rPr>
        <w:t>2026 Progress Report</w:t>
      </w:r>
    </w:p>
    <w:p w14:paraId="6CFD729C" w14:textId="3557C7AE" w:rsidR="00151C88" w:rsidRPr="002112CD" w:rsidRDefault="000C39A1" w:rsidP="00067795">
      <w:pPr>
        <w:contextualSpacing/>
        <w:jc w:val="center"/>
        <w:rPr>
          <w:rFonts w:ascii="Verdana" w:hAnsi="Verdana"/>
          <w:sz w:val="14"/>
          <w:szCs w:val="14"/>
        </w:rPr>
      </w:pPr>
      <w:r w:rsidRPr="002112CD">
        <w:rPr>
          <w:rFonts w:ascii="Verdana" w:hAnsi="Verdana"/>
          <w:b/>
          <w:bCs/>
          <w:color w:val="2E75B6"/>
          <w:sz w:val="22"/>
          <w:szCs w:val="22"/>
        </w:rPr>
        <w:t>The Royal Victorian Eye and Ear Hospital</w:t>
      </w:r>
    </w:p>
    <w:p w14:paraId="6CFD729D" w14:textId="77777777" w:rsidR="00151C88" w:rsidRPr="002112CD" w:rsidRDefault="000C39A1" w:rsidP="00067795">
      <w:pPr>
        <w:contextualSpacing/>
        <w:jc w:val="center"/>
        <w:rPr>
          <w:rFonts w:ascii="Verdana" w:hAnsi="Verdana"/>
          <w:sz w:val="18"/>
          <w:szCs w:val="18"/>
        </w:rPr>
      </w:pPr>
      <w:r w:rsidRPr="002112CD">
        <w:rPr>
          <w:rFonts w:ascii="Verdana" w:hAnsi="Verdana"/>
          <w:i/>
          <w:iCs/>
          <w:color w:val="595959"/>
          <w:sz w:val="22"/>
          <w:szCs w:val="22"/>
        </w:rPr>
        <w:t>Gender Equality Act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72"/>
        <w:gridCol w:w="12716"/>
      </w:tblGrid>
      <w:tr w:rsidR="00151C88" w:rsidRPr="002112CD" w14:paraId="6CFD72A0" w14:textId="77777777" w:rsidTr="00C213DD">
        <w:tc>
          <w:tcPr>
            <w:tcW w:w="0" w:type="auto"/>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29E" w14:textId="77777777" w:rsidR="00151C88" w:rsidRPr="002112CD" w:rsidRDefault="000C39A1" w:rsidP="00067795">
            <w:pPr>
              <w:contextualSpacing/>
              <w:rPr>
                <w:rFonts w:ascii="Verdana" w:hAnsi="Verdana"/>
              </w:rPr>
            </w:pPr>
            <w:r w:rsidRPr="002112CD">
              <w:rPr>
                <w:rFonts w:ascii="Verdana" w:hAnsi="Verdana"/>
                <w:b/>
                <w:bCs/>
                <w:color w:val="000000"/>
              </w:rPr>
              <w:t>Organisation name</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9F" w14:textId="6D33D7B7" w:rsidR="00151C88" w:rsidRPr="002112CD" w:rsidRDefault="000C39A1" w:rsidP="00067795">
            <w:pPr>
              <w:contextualSpacing/>
              <w:rPr>
                <w:rFonts w:ascii="Verdana" w:hAnsi="Verdana"/>
              </w:rPr>
            </w:pPr>
            <w:r w:rsidRPr="002112CD">
              <w:rPr>
                <w:rFonts w:ascii="Verdana" w:hAnsi="Verdana"/>
                <w:color w:val="000000"/>
              </w:rPr>
              <w:t>The Royal Victorian Eye and Ear Hospital (Eye and Ear)</w:t>
            </w:r>
          </w:p>
        </w:tc>
      </w:tr>
      <w:tr w:rsidR="00151C88" w:rsidRPr="002112CD" w14:paraId="6CFD72A3" w14:textId="77777777" w:rsidTr="00C213DD">
        <w:tc>
          <w:tcPr>
            <w:tcW w:w="0" w:type="auto"/>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2A1" w14:textId="061181C3" w:rsidR="00151C88" w:rsidRPr="002112CD" w:rsidRDefault="000C39A1" w:rsidP="00067795">
            <w:pPr>
              <w:contextualSpacing/>
              <w:rPr>
                <w:rFonts w:ascii="Verdana" w:hAnsi="Verdana"/>
              </w:rPr>
            </w:pPr>
            <w:r w:rsidRPr="002112CD">
              <w:rPr>
                <w:rFonts w:ascii="Verdana" w:hAnsi="Verdana"/>
                <w:b/>
                <w:bCs/>
                <w:color w:val="000000"/>
              </w:rPr>
              <w:t xml:space="preserve">Total employees (as </w:t>
            </w:r>
            <w:r w:rsidR="00C83281" w:rsidRPr="002112CD">
              <w:rPr>
                <w:rFonts w:ascii="Verdana" w:hAnsi="Verdana"/>
                <w:b/>
                <w:bCs/>
                <w:color w:val="000000"/>
              </w:rPr>
              <w:t>of</w:t>
            </w:r>
            <w:r w:rsidRPr="002112CD">
              <w:rPr>
                <w:rFonts w:ascii="Verdana" w:hAnsi="Verdana"/>
                <w:b/>
                <w:bCs/>
                <w:color w:val="000000"/>
              </w:rPr>
              <w:t xml:space="preserve"> 30 June 2025)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A2" w14:textId="48DB73C5" w:rsidR="00151C88" w:rsidRPr="002112CD" w:rsidRDefault="000C39A1" w:rsidP="00067795">
            <w:pPr>
              <w:contextualSpacing/>
              <w:rPr>
                <w:rFonts w:ascii="Verdana" w:hAnsi="Verdana"/>
              </w:rPr>
            </w:pPr>
            <w:r w:rsidRPr="002112CD">
              <w:rPr>
                <w:rFonts w:ascii="Verdana" w:hAnsi="Verdana"/>
                <w:color w:val="000000"/>
              </w:rPr>
              <w:t>Total employees: 1,096   |   Women: 699 (64</w:t>
            </w:r>
            <w:r w:rsidR="00C83281" w:rsidRPr="002112CD">
              <w:rPr>
                <w:rFonts w:ascii="Verdana" w:hAnsi="Verdana"/>
                <w:color w:val="000000"/>
              </w:rPr>
              <w:t>%) |</w:t>
            </w:r>
            <w:r w:rsidRPr="002112CD">
              <w:rPr>
                <w:rFonts w:ascii="Verdana" w:hAnsi="Verdana"/>
                <w:color w:val="000000"/>
              </w:rPr>
              <w:t xml:space="preserve">   Men: 397 (36%)</w:t>
            </w:r>
          </w:p>
        </w:tc>
      </w:tr>
      <w:tr w:rsidR="00151C88" w:rsidRPr="002112CD" w14:paraId="6CFD72A6" w14:textId="77777777" w:rsidTr="00C213DD">
        <w:tc>
          <w:tcPr>
            <w:tcW w:w="0" w:type="auto"/>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2A4" w14:textId="77777777" w:rsidR="00151C88" w:rsidRPr="002112CD" w:rsidRDefault="000C39A1" w:rsidP="00067795">
            <w:pPr>
              <w:contextualSpacing/>
              <w:rPr>
                <w:rFonts w:ascii="Verdana" w:hAnsi="Verdana"/>
              </w:rPr>
            </w:pPr>
            <w:r w:rsidRPr="002112CD">
              <w:rPr>
                <w:rFonts w:ascii="Verdana" w:hAnsi="Verdana"/>
                <w:b/>
                <w:bCs/>
                <w:color w:val="000000"/>
              </w:rPr>
              <w:t>PMS response rate</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A5" w14:textId="4F041641" w:rsidR="00151C88" w:rsidRPr="002112CD" w:rsidRDefault="009275D0" w:rsidP="00067795">
            <w:pPr>
              <w:contextualSpacing/>
              <w:rPr>
                <w:rFonts w:ascii="Verdana" w:hAnsi="Verdana"/>
              </w:rPr>
            </w:pPr>
            <w:r w:rsidRPr="002112CD">
              <w:rPr>
                <w:rFonts w:ascii="Verdana" w:hAnsi="Verdana"/>
                <w:color w:val="000000"/>
              </w:rPr>
              <w:t>3</w:t>
            </w:r>
            <w:r w:rsidR="00580E1F" w:rsidRPr="002112CD">
              <w:rPr>
                <w:rFonts w:ascii="Verdana" w:hAnsi="Verdana"/>
                <w:color w:val="000000"/>
              </w:rPr>
              <w:t>2</w:t>
            </w:r>
            <w:r w:rsidRPr="002112CD">
              <w:rPr>
                <w:rFonts w:ascii="Verdana" w:hAnsi="Verdana"/>
                <w:color w:val="000000"/>
              </w:rPr>
              <w:t>% (2025 People Matter Survey)</w:t>
            </w:r>
          </w:p>
        </w:tc>
      </w:tr>
      <w:tr w:rsidR="00151C88" w:rsidRPr="002112CD" w14:paraId="6CFD72AE" w14:textId="77777777" w:rsidTr="00C94D6D">
        <w:trPr>
          <w:trHeight w:val="2141"/>
        </w:trPr>
        <w:tc>
          <w:tcPr>
            <w:tcW w:w="0" w:type="auto"/>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2A7" w14:textId="77777777" w:rsidR="00151C88" w:rsidRPr="002112CD" w:rsidRDefault="000C39A1" w:rsidP="00067795">
            <w:pPr>
              <w:contextualSpacing/>
              <w:rPr>
                <w:rFonts w:ascii="Verdana" w:hAnsi="Verdana"/>
              </w:rPr>
            </w:pPr>
            <w:r w:rsidRPr="002112CD">
              <w:rPr>
                <w:rFonts w:ascii="Verdana" w:hAnsi="Verdana"/>
                <w:b/>
                <w:bCs/>
                <w:color w:val="000000"/>
              </w:rPr>
              <w:t>Contextual information</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AD" w14:textId="4E173D80" w:rsidR="00FE37EE" w:rsidRPr="002112CD" w:rsidRDefault="00734764" w:rsidP="00067795">
            <w:pPr>
              <w:contextualSpacing/>
              <w:rPr>
                <w:rFonts w:ascii="Verdana" w:hAnsi="Verdana"/>
                <w:color w:val="000000"/>
              </w:rPr>
            </w:pPr>
            <w:r w:rsidRPr="002112CD">
              <w:rPr>
                <w:rFonts w:ascii="Verdana" w:hAnsi="Verdana"/>
                <w:color w:val="000000"/>
              </w:rPr>
              <w:t xml:space="preserve">Australia's only specialist eye, ear, nose and throat hospital. Based in East Melbourne with specialist clinics across Victoria. Serves approximately 220,000 patients annually across </w:t>
            </w:r>
            <w:r w:rsidR="00503EB3" w:rsidRPr="002112CD">
              <w:rPr>
                <w:rFonts w:ascii="Verdana" w:hAnsi="Verdana"/>
                <w:color w:val="000000"/>
              </w:rPr>
              <w:t>100</w:t>
            </w:r>
            <w:r w:rsidRPr="002112CD">
              <w:rPr>
                <w:rFonts w:ascii="Verdana" w:hAnsi="Verdana"/>
                <w:color w:val="000000"/>
              </w:rPr>
              <w:t xml:space="preserve">+ specialist clinics. Workforce organised across four occupational groups: </w:t>
            </w:r>
            <w:r w:rsidR="008B03F9">
              <w:rPr>
                <w:rFonts w:ascii="Verdana" w:hAnsi="Verdana"/>
                <w:b/>
                <w:bCs/>
                <w:color w:val="000000"/>
              </w:rPr>
              <w:t>Allied Health</w:t>
            </w:r>
            <w:r w:rsidR="009659C4">
              <w:rPr>
                <w:rFonts w:ascii="Verdana" w:hAnsi="Verdana"/>
                <w:color w:val="000000"/>
              </w:rPr>
              <w:t xml:space="preserve"> (including </w:t>
            </w:r>
            <w:r w:rsidR="00F31878">
              <w:rPr>
                <w:rFonts w:ascii="Verdana" w:hAnsi="Verdana"/>
                <w:color w:val="000000"/>
              </w:rPr>
              <w:t>Audiologists</w:t>
            </w:r>
            <w:r w:rsidR="009659C4">
              <w:rPr>
                <w:rFonts w:ascii="Verdana" w:hAnsi="Verdana"/>
                <w:color w:val="000000"/>
              </w:rPr>
              <w:t xml:space="preserve">, </w:t>
            </w:r>
            <w:r w:rsidR="00820535" w:rsidRPr="00820535">
              <w:rPr>
                <w:rFonts w:ascii="Verdana" w:hAnsi="Verdana"/>
                <w:color w:val="000000"/>
              </w:rPr>
              <w:t>Optometrist</w:t>
            </w:r>
            <w:r w:rsidR="00820535">
              <w:rPr>
                <w:rFonts w:ascii="Verdana" w:hAnsi="Verdana"/>
                <w:color w:val="000000"/>
              </w:rPr>
              <w:t xml:space="preserve">s, </w:t>
            </w:r>
            <w:r w:rsidR="00F31878">
              <w:rPr>
                <w:rFonts w:ascii="Verdana" w:hAnsi="Verdana"/>
                <w:color w:val="000000"/>
              </w:rPr>
              <w:t xml:space="preserve">Orthoptists, </w:t>
            </w:r>
            <w:r w:rsidR="00973311">
              <w:rPr>
                <w:rFonts w:ascii="Verdana" w:hAnsi="Verdana"/>
                <w:color w:val="000000"/>
              </w:rPr>
              <w:t xml:space="preserve">Speech Therapists, </w:t>
            </w:r>
            <w:r w:rsidR="00144021">
              <w:rPr>
                <w:rFonts w:ascii="Verdana" w:hAnsi="Verdana"/>
                <w:color w:val="000000"/>
              </w:rPr>
              <w:t>Social Workers</w:t>
            </w:r>
            <w:r w:rsidR="006F6035">
              <w:rPr>
                <w:rFonts w:ascii="Verdana" w:hAnsi="Verdana"/>
                <w:color w:val="000000"/>
              </w:rPr>
              <w:t xml:space="preserve">, </w:t>
            </w:r>
            <w:r w:rsidR="009503B8">
              <w:rPr>
                <w:rFonts w:ascii="Verdana" w:hAnsi="Verdana"/>
                <w:color w:val="000000"/>
              </w:rPr>
              <w:t xml:space="preserve">Physiotherapist, </w:t>
            </w:r>
            <w:r w:rsidR="004937CE">
              <w:rPr>
                <w:rFonts w:ascii="Verdana" w:hAnsi="Verdana"/>
                <w:color w:val="000000"/>
              </w:rPr>
              <w:t>Pharmacist</w:t>
            </w:r>
            <w:r w:rsidR="00F31878">
              <w:rPr>
                <w:rFonts w:ascii="Verdana" w:hAnsi="Verdana"/>
                <w:color w:val="000000"/>
              </w:rPr>
              <w:t>s</w:t>
            </w:r>
            <w:r w:rsidR="000760AC">
              <w:rPr>
                <w:rFonts w:ascii="Verdana" w:hAnsi="Verdana"/>
                <w:color w:val="000000"/>
              </w:rPr>
              <w:t>,</w:t>
            </w:r>
            <w:r w:rsidR="004937CE">
              <w:rPr>
                <w:rFonts w:ascii="Verdana" w:hAnsi="Verdana"/>
                <w:color w:val="000000"/>
              </w:rPr>
              <w:t xml:space="preserve"> Technicians</w:t>
            </w:r>
            <w:r w:rsidR="009918C6">
              <w:rPr>
                <w:rFonts w:ascii="Verdana" w:hAnsi="Verdana"/>
                <w:color w:val="000000"/>
              </w:rPr>
              <w:t>, Medical Photographers</w:t>
            </w:r>
            <w:r w:rsidR="006F6035">
              <w:rPr>
                <w:rFonts w:ascii="Verdana" w:hAnsi="Verdana"/>
                <w:color w:val="000000"/>
              </w:rPr>
              <w:t xml:space="preserve"> and </w:t>
            </w:r>
            <w:r w:rsidR="000760AC">
              <w:rPr>
                <w:rFonts w:ascii="Verdana" w:hAnsi="Verdana"/>
                <w:color w:val="000000"/>
              </w:rPr>
              <w:t>Allied Health Assista</w:t>
            </w:r>
            <w:r w:rsidR="00AE3417">
              <w:rPr>
                <w:rFonts w:ascii="Verdana" w:hAnsi="Verdana"/>
                <w:color w:val="000000"/>
              </w:rPr>
              <w:t>nts</w:t>
            </w:r>
            <w:r w:rsidR="004937CE">
              <w:rPr>
                <w:rFonts w:ascii="Verdana" w:hAnsi="Verdana"/>
                <w:color w:val="000000"/>
              </w:rPr>
              <w:t>)</w:t>
            </w:r>
            <w:r w:rsidRPr="002112CD">
              <w:rPr>
                <w:rFonts w:ascii="Verdana" w:hAnsi="Verdana"/>
                <w:color w:val="000000"/>
              </w:rPr>
              <w:t xml:space="preserve"> (162), </w:t>
            </w:r>
            <w:r w:rsidRPr="0099002E">
              <w:rPr>
                <w:rFonts w:ascii="Verdana" w:hAnsi="Verdana"/>
                <w:b/>
                <w:bCs/>
                <w:color w:val="000000"/>
              </w:rPr>
              <w:t>Medical</w:t>
            </w:r>
            <w:r w:rsidRPr="002112CD">
              <w:rPr>
                <w:rFonts w:ascii="Verdana" w:hAnsi="Verdana"/>
                <w:color w:val="000000"/>
              </w:rPr>
              <w:t xml:space="preserve"> (400), </w:t>
            </w:r>
            <w:r w:rsidRPr="0099002E">
              <w:rPr>
                <w:rFonts w:ascii="Verdana" w:hAnsi="Verdana"/>
                <w:b/>
                <w:bCs/>
                <w:color w:val="000000"/>
              </w:rPr>
              <w:t>Nursing</w:t>
            </w:r>
            <w:r w:rsidRPr="002112CD">
              <w:rPr>
                <w:rFonts w:ascii="Verdana" w:hAnsi="Verdana"/>
                <w:color w:val="000000"/>
              </w:rPr>
              <w:t xml:space="preserve"> (304), </w:t>
            </w:r>
            <w:proofErr w:type="gramStart"/>
            <w:r w:rsidRPr="0099002E">
              <w:rPr>
                <w:rFonts w:ascii="Verdana" w:hAnsi="Verdana"/>
                <w:b/>
                <w:bCs/>
                <w:color w:val="000000"/>
              </w:rPr>
              <w:t>Non-Clinical</w:t>
            </w:r>
            <w:proofErr w:type="gramEnd"/>
            <w:r w:rsidRPr="002112CD">
              <w:rPr>
                <w:rFonts w:ascii="Verdana" w:hAnsi="Verdana"/>
                <w:color w:val="000000"/>
              </w:rPr>
              <w:t xml:space="preserve"> (231).</w:t>
            </w:r>
            <w:r w:rsidRPr="002112CD">
              <w:rPr>
                <w:rFonts w:ascii="Verdana" w:hAnsi="Verdana"/>
              </w:rPr>
              <w:t xml:space="preserve"> </w:t>
            </w:r>
            <w:r w:rsidRPr="002112CD">
              <w:rPr>
                <w:rFonts w:ascii="Verdana" w:hAnsi="Verdana"/>
                <w:color w:val="000000"/>
              </w:rPr>
              <w:t>32% of survey respondents were born overseas; 43% speak a language other than English at home; 55% have caring responsibilities.</w:t>
            </w:r>
            <w:r w:rsidRPr="002112CD">
              <w:rPr>
                <w:rFonts w:ascii="Verdana" w:hAnsi="Verdana"/>
              </w:rPr>
              <w:t xml:space="preserve"> </w:t>
            </w:r>
            <w:r w:rsidRPr="002112CD">
              <w:rPr>
                <w:rFonts w:ascii="Verdana" w:hAnsi="Verdana"/>
                <w:color w:val="000000"/>
              </w:rPr>
              <w:t>Clinical Division: 79% of workforce; operates under healthcare funding models and award structures that significantly limit organisational control over pay equity and role design.</w:t>
            </w:r>
            <w:r w:rsidRPr="002112CD">
              <w:rPr>
                <w:rFonts w:ascii="Verdana" w:hAnsi="Verdana"/>
              </w:rPr>
              <w:t xml:space="preserve"> </w:t>
            </w:r>
            <w:r w:rsidRPr="002112CD">
              <w:rPr>
                <w:rFonts w:ascii="Verdana" w:hAnsi="Verdana"/>
                <w:color w:val="000000"/>
              </w:rPr>
              <w:t>Non-Clinical Division: 21% of workforce; greater flexibility to implement structural changes</w:t>
            </w:r>
          </w:p>
        </w:tc>
      </w:tr>
      <w:tr w:rsidR="00151C88" w:rsidRPr="002112CD" w14:paraId="6CFD72B1" w14:textId="77777777" w:rsidTr="007E6CB7">
        <w:trPr>
          <w:trHeight w:val="324"/>
        </w:trPr>
        <w:tc>
          <w:tcPr>
            <w:tcW w:w="0" w:type="auto"/>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2AF" w14:textId="77777777" w:rsidR="00151C88" w:rsidRPr="002112CD" w:rsidRDefault="000C39A1" w:rsidP="00067795">
            <w:pPr>
              <w:contextualSpacing/>
              <w:rPr>
                <w:rFonts w:ascii="Verdana" w:hAnsi="Verdana"/>
              </w:rPr>
            </w:pPr>
            <w:r w:rsidRPr="002112CD">
              <w:rPr>
                <w:rFonts w:ascii="Verdana" w:hAnsi="Verdana"/>
                <w:b/>
                <w:bCs/>
                <w:color w:val="000000"/>
              </w:rPr>
              <w:t>Location</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B0" w14:textId="77777777" w:rsidR="00151C88" w:rsidRPr="002112CD" w:rsidRDefault="000C39A1" w:rsidP="00067795">
            <w:pPr>
              <w:contextualSpacing/>
              <w:rPr>
                <w:rFonts w:ascii="Verdana" w:hAnsi="Verdana"/>
              </w:rPr>
            </w:pPr>
            <w:r w:rsidRPr="002112CD">
              <w:rPr>
                <w:rFonts w:ascii="Verdana" w:hAnsi="Verdana"/>
                <w:color w:val="000000"/>
              </w:rPr>
              <w:t>Metropolitan (East Melbourne) and regional Victoria</w:t>
            </w:r>
          </w:p>
        </w:tc>
      </w:tr>
    </w:tbl>
    <w:p w14:paraId="6CFD72B3" w14:textId="77777777" w:rsidR="00151C88" w:rsidRPr="002112CD" w:rsidRDefault="00151C88" w:rsidP="00067795">
      <w:pPr>
        <w:contextualSpacing/>
        <w:rPr>
          <w:rFonts w:ascii="Verdana" w:hAnsi="Verdana"/>
        </w:rPr>
      </w:pPr>
    </w:p>
    <w:p w14:paraId="6CFD72B4" w14:textId="77777777" w:rsidR="00151C88" w:rsidRPr="002112CD" w:rsidRDefault="000C39A1" w:rsidP="00067795">
      <w:pPr>
        <w:pStyle w:val="Heading2"/>
        <w:spacing w:before="0" w:after="0"/>
        <w:contextualSpacing/>
        <w:rPr>
          <w:rFonts w:ascii="Verdana" w:hAnsi="Verdana"/>
        </w:rPr>
      </w:pPr>
      <w:r w:rsidRPr="002112CD">
        <w:rPr>
          <w:rFonts w:ascii="Verdana" w:hAnsi="Verdana"/>
        </w:rPr>
        <w:t>Summary: Progress Against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94"/>
        <w:gridCol w:w="7694"/>
      </w:tblGrid>
      <w:tr w:rsidR="00151C88" w:rsidRPr="002112CD" w14:paraId="6CFD72B7" w14:textId="77777777" w:rsidTr="00C213DD">
        <w:trPr>
          <w:tblHeader/>
        </w:trPr>
        <w:tc>
          <w:tcPr>
            <w:tcW w:w="2500" w:type="pct"/>
            <w:tcBorders>
              <w:top w:val="single" w:sz="4" w:space="0" w:color="CCCCCC"/>
              <w:left w:val="single" w:sz="4" w:space="0" w:color="CCCCCC"/>
              <w:bottom w:val="single" w:sz="4" w:space="0" w:color="CCCCCC"/>
              <w:right w:val="single" w:sz="4" w:space="0" w:color="CCCCCC"/>
            </w:tcBorders>
            <w:shd w:val="clear" w:color="auto" w:fill="1F3864"/>
            <w:tcMar>
              <w:top w:w="60" w:type="dxa"/>
              <w:left w:w="100" w:type="dxa"/>
              <w:bottom w:w="60" w:type="dxa"/>
              <w:right w:w="100" w:type="dxa"/>
            </w:tcMar>
          </w:tcPr>
          <w:p w14:paraId="6CFD72B5" w14:textId="77777777" w:rsidR="00151C88" w:rsidRPr="002112CD" w:rsidRDefault="000C39A1" w:rsidP="00067795">
            <w:pPr>
              <w:contextualSpacing/>
              <w:jc w:val="center"/>
              <w:rPr>
                <w:rFonts w:ascii="Verdana" w:hAnsi="Verdana"/>
              </w:rPr>
            </w:pPr>
            <w:r w:rsidRPr="002112CD">
              <w:rPr>
                <w:rFonts w:ascii="Verdana" w:hAnsi="Verdana"/>
                <w:b/>
                <w:bCs/>
                <w:color w:val="FFFFFF"/>
              </w:rPr>
              <w:t>Indicator</w:t>
            </w:r>
          </w:p>
        </w:tc>
        <w:tc>
          <w:tcPr>
            <w:tcW w:w="2500" w:type="pct"/>
            <w:tcBorders>
              <w:top w:val="single" w:sz="4" w:space="0" w:color="CCCCCC"/>
              <w:left w:val="single" w:sz="4" w:space="0" w:color="CCCCCC"/>
              <w:bottom w:val="single" w:sz="4" w:space="0" w:color="CCCCCC"/>
              <w:right w:val="single" w:sz="4" w:space="0" w:color="CCCCCC"/>
            </w:tcBorders>
            <w:shd w:val="clear" w:color="auto" w:fill="1F3864"/>
            <w:tcMar>
              <w:top w:w="60" w:type="dxa"/>
              <w:left w:w="100" w:type="dxa"/>
              <w:bottom w:w="60" w:type="dxa"/>
              <w:right w:w="100" w:type="dxa"/>
            </w:tcMar>
          </w:tcPr>
          <w:p w14:paraId="6CFD72B6" w14:textId="77777777" w:rsidR="00151C88" w:rsidRPr="002112CD" w:rsidRDefault="000C39A1" w:rsidP="00067795">
            <w:pPr>
              <w:contextualSpacing/>
              <w:jc w:val="center"/>
              <w:rPr>
                <w:rFonts w:ascii="Verdana" w:hAnsi="Verdana"/>
              </w:rPr>
            </w:pPr>
            <w:r w:rsidRPr="002112CD">
              <w:rPr>
                <w:rFonts w:ascii="Verdana" w:hAnsi="Verdana"/>
                <w:b/>
                <w:bCs/>
                <w:color w:val="FFFFFF"/>
              </w:rPr>
              <w:t>Progress (Yes / No)</w:t>
            </w:r>
          </w:p>
        </w:tc>
      </w:tr>
      <w:tr w:rsidR="00151C88" w:rsidRPr="002112CD" w14:paraId="6CFD72BA" w14:textId="77777777" w:rsidTr="00580E1F">
        <w:tc>
          <w:tcPr>
            <w:tcW w:w="2500" w:type="pct"/>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B8" w14:textId="77777777" w:rsidR="00151C88" w:rsidRPr="002112CD" w:rsidRDefault="000C39A1" w:rsidP="00067795">
            <w:pPr>
              <w:contextualSpacing/>
              <w:rPr>
                <w:rFonts w:ascii="Verdana" w:hAnsi="Verdana"/>
              </w:rPr>
            </w:pPr>
            <w:r w:rsidRPr="002112CD">
              <w:rPr>
                <w:rFonts w:ascii="Verdana" w:hAnsi="Verdana"/>
                <w:color w:val="000000"/>
              </w:rPr>
              <w:t>1. Gender Composition of Workforce</w:t>
            </w:r>
          </w:p>
        </w:tc>
        <w:tc>
          <w:tcPr>
            <w:tcW w:w="2500" w:type="pct"/>
            <w:tcBorders>
              <w:top w:val="single" w:sz="4" w:space="0" w:color="CCCCCC"/>
              <w:left w:val="single" w:sz="4" w:space="0" w:color="CCCCCC"/>
              <w:bottom w:val="single" w:sz="4" w:space="0" w:color="CCCCCC"/>
              <w:right w:val="single" w:sz="4" w:space="0" w:color="CCCCCC"/>
            </w:tcBorders>
            <w:shd w:val="clear" w:color="auto" w:fill="D9F2D0" w:themeFill="accent6" w:themeFillTint="33"/>
            <w:tcMar>
              <w:top w:w="60" w:type="dxa"/>
              <w:left w:w="100" w:type="dxa"/>
              <w:bottom w:w="60" w:type="dxa"/>
              <w:right w:w="100" w:type="dxa"/>
            </w:tcMar>
          </w:tcPr>
          <w:p w14:paraId="6CFD72B9" w14:textId="77777777" w:rsidR="00151C88" w:rsidRPr="002112CD" w:rsidRDefault="000C39A1" w:rsidP="00067795">
            <w:pPr>
              <w:contextualSpacing/>
              <w:jc w:val="center"/>
              <w:rPr>
                <w:rFonts w:ascii="Verdana" w:hAnsi="Verdana"/>
              </w:rPr>
            </w:pPr>
            <w:r w:rsidRPr="002112CD">
              <w:rPr>
                <w:rFonts w:ascii="Verdana" w:hAnsi="Verdana"/>
                <w:b/>
                <w:bCs/>
                <w:color w:val="000000"/>
              </w:rPr>
              <w:t>Yes</w:t>
            </w:r>
          </w:p>
        </w:tc>
      </w:tr>
      <w:tr w:rsidR="00151C88" w:rsidRPr="002112CD" w14:paraId="6CFD72BD" w14:textId="77777777" w:rsidTr="00580E1F">
        <w:tc>
          <w:tcPr>
            <w:tcW w:w="2500" w:type="pct"/>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BB" w14:textId="77777777" w:rsidR="00151C88" w:rsidRPr="002112CD" w:rsidRDefault="000C39A1" w:rsidP="00067795">
            <w:pPr>
              <w:contextualSpacing/>
              <w:rPr>
                <w:rFonts w:ascii="Verdana" w:hAnsi="Verdana"/>
              </w:rPr>
            </w:pPr>
            <w:r w:rsidRPr="002112CD">
              <w:rPr>
                <w:rFonts w:ascii="Verdana" w:hAnsi="Verdana"/>
                <w:color w:val="000000"/>
              </w:rPr>
              <w:t>2. Gender Composition of Governing Body</w:t>
            </w:r>
          </w:p>
        </w:tc>
        <w:tc>
          <w:tcPr>
            <w:tcW w:w="2500" w:type="pct"/>
            <w:tcBorders>
              <w:top w:val="single" w:sz="4" w:space="0" w:color="CCCCCC"/>
              <w:left w:val="single" w:sz="4" w:space="0" w:color="CCCCCC"/>
              <w:bottom w:val="single" w:sz="4" w:space="0" w:color="CCCCCC"/>
              <w:right w:val="single" w:sz="4" w:space="0" w:color="CCCCCC"/>
            </w:tcBorders>
            <w:shd w:val="clear" w:color="auto" w:fill="D9F2D0" w:themeFill="accent6" w:themeFillTint="33"/>
            <w:tcMar>
              <w:top w:w="60" w:type="dxa"/>
              <w:left w:w="100" w:type="dxa"/>
              <w:bottom w:w="60" w:type="dxa"/>
              <w:right w:w="100" w:type="dxa"/>
            </w:tcMar>
          </w:tcPr>
          <w:p w14:paraId="6CFD72BC" w14:textId="77777777" w:rsidR="00151C88" w:rsidRPr="002112CD" w:rsidRDefault="000C39A1" w:rsidP="00067795">
            <w:pPr>
              <w:contextualSpacing/>
              <w:jc w:val="center"/>
              <w:rPr>
                <w:rFonts w:ascii="Verdana" w:hAnsi="Verdana"/>
              </w:rPr>
            </w:pPr>
            <w:r w:rsidRPr="002112CD">
              <w:rPr>
                <w:rFonts w:ascii="Verdana" w:hAnsi="Verdana"/>
                <w:b/>
                <w:bCs/>
                <w:color w:val="000000"/>
              </w:rPr>
              <w:t>Yes</w:t>
            </w:r>
          </w:p>
        </w:tc>
      </w:tr>
      <w:tr w:rsidR="00151C88" w:rsidRPr="002112CD" w14:paraId="6CFD72C0" w14:textId="77777777" w:rsidTr="00580E1F">
        <w:tc>
          <w:tcPr>
            <w:tcW w:w="2500" w:type="pct"/>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BE" w14:textId="77777777" w:rsidR="00151C88" w:rsidRPr="002112CD" w:rsidRDefault="000C39A1" w:rsidP="00067795">
            <w:pPr>
              <w:contextualSpacing/>
              <w:rPr>
                <w:rFonts w:ascii="Verdana" w:hAnsi="Verdana"/>
              </w:rPr>
            </w:pPr>
            <w:r w:rsidRPr="002112CD">
              <w:rPr>
                <w:rFonts w:ascii="Verdana" w:hAnsi="Verdana"/>
                <w:color w:val="000000"/>
              </w:rPr>
              <w:t>3. Equal Remuneration</w:t>
            </w:r>
          </w:p>
        </w:tc>
        <w:tc>
          <w:tcPr>
            <w:tcW w:w="2500" w:type="pct"/>
            <w:tcBorders>
              <w:top w:val="single" w:sz="4" w:space="0" w:color="CCCCCC"/>
              <w:left w:val="single" w:sz="4" w:space="0" w:color="CCCCCC"/>
              <w:bottom w:val="single" w:sz="4" w:space="0" w:color="CCCCCC"/>
              <w:right w:val="single" w:sz="4" w:space="0" w:color="CCCCCC"/>
            </w:tcBorders>
            <w:shd w:val="clear" w:color="auto" w:fill="D9F2D0" w:themeFill="accent6" w:themeFillTint="33"/>
            <w:tcMar>
              <w:top w:w="60" w:type="dxa"/>
              <w:left w:w="100" w:type="dxa"/>
              <w:bottom w:w="60" w:type="dxa"/>
              <w:right w:w="100" w:type="dxa"/>
            </w:tcMar>
          </w:tcPr>
          <w:p w14:paraId="6CFD72BF" w14:textId="77777777" w:rsidR="00151C88" w:rsidRPr="002112CD" w:rsidRDefault="000C39A1" w:rsidP="00067795">
            <w:pPr>
              <w:contextualSpacing/>
              <w:jc w:val="center"/>
              <w:rPr>
                <w:rFonts w:ascii="Verdana" w:hAnsi="Verdana"/>
              </w:rPr>
            </w:pPr>
            <w:r w:rsidRPr="002112CD">
              <w:rPr>
                <w:rFonts w:ascii="Verdana" w:hAnsi="Verdana"/>
                <w:b/>
                <w:bCs/>
                <w:color w:val="000000"/>
              </w:rPr>
              <w:t>Yes</w:t>
            </w:r>
          </w:p>
        </w:tc>
      </w:tr>
      <w:tr w:rsidR="00151C88" w:rsidRPr="002112CD" w14:paraId="6CFD72C3" w14:textId="77777777" w:rsidTr="00C213DD">
        <w:tc>
          <w:tcPr>
            <w:tcW w:w="2500" w:type="pct"/>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C1" w14:textId="77777777" w:rsidR="00151C88" w:rsidRPr="002112CD" w:rsidRDefault="000C39A1" w:rsidP="00067795">
            <w:pPr>
              <w:contextualSpacing/>
              <w:rPr>
                <w:rFonts w:ascii="Verdana" w:hAnsi="Verdana"/>
              </w:rPr>
            </w:pPr>
            <w:r w:rsidRPr="002112CD">
              <w:rPr>
                <w:rFonts w:ascii="Verdana" w:hAnsi="Verdana"/>
                <w:color w:val="000000"/>
              </w:rPr>
              <w:t>4. Sexual Harassment in the Workplace</w:t>
            </w:r>
          </w:p>
        </w:tc>
        <w:tc>
          <w:tcPr>
            <w:tcW w:w="2500" w:type="pct"/>
            <w:tcBorders>
              <w:top w:val="single" w:sz="4" w:space="0" w:color="CCCCCC"/>
              <w:left w:val="single" w:sz="4" w:space="0" w:color="CCCCCC"/>
              <w:bottom w:val="single" w:sz="4" w:space="0" w:color="CCCCCC"/>
              <w:right w:val="single" w:sz="4" w:space="0" w:color="CCCCCC"/>
            </w:tcBorders>
            <w:shd w:val="clear" w:color="auto" w:fill="FCE4D6"/>
            <w:tcMar>
              <w:top w:w="60" w:type="dxa"/>
              <w:left w:w="100" w:type="dxa"/>
              <w:bottom w:w="60" w:type="dxa"/>
              <w:right w:w="100" w:type="dxa"/>
            </w:tcMar>
          </w:tcPr>
          <w:p w14:paraId="6CFD72C2" w14:textId="77777777" w:rsidR="00151C88" w:rsidRPr="002112CD" w:rsidRDefault="000C39A1" w:rsidP="00067795">
            <w:pPr>
              <w:contextualSpacing/>
              <w:jc w:val="center"/>
              <w:rPr>
                <w:rFonts w:ascii="Verdana" w:hAnsi="Verdana"/>
              </w:rPr>
            </w:pPr>
            <w:r w:rsidRPr="002112CD">
              <w:rPr>
                <w:rFonts w:ascii="Verdana" w:hAnsi="Verdana"/>
                <w:b/>
                <w:bCs/>
                <w:color w:val="000000"/>
              </w:rPr>
              <w:t>No</w:t>
            </w:r>
          </w:p>
        </w:tc>
      </w:tr>
      <w:tr w:rsidR="00151C88" w:rsidRPr="002112CD" w14:paraId="6CFD72C6" w14:textId="77777777" w:rsidTr="00580E1F">
        <w:tc>
          <w:tcPr>
            <w:tcW w:w="2500" w:type="pct"/>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C4" w14:textId="77777777" w:rsidR="00151C88" w:rsidRPr="002112CD" w:rsidRDefault="000C39A1" w:rsidP="00067795">
            <w:pPr>
              <w:contextualSpacing/>
              <w:rPr>
                <w:rFonts w:ascii="Verdana" w:hAnsi="Verdana"/>
              </w:rPr>
            </w:pPr>
            <w:r w:rsidRPr="002112CD">
              <w:rPr>
                <w:rFonts w:ascii="Verdana" w:hAnsi="Verdana"/>
                <w:color w:val="000000"/>
              </w:rPr>
              <w:t>5. Recruitment and Promotion</w:t>
            </w:r>
          </w:p>
        </w:tc>
        <w:tc>
          <w:tcPr>
            <w:tcW w:w="2500" w:type="pct"/>
            <w:tcBorders>
              <w:top w:val="single" w:sz="4" w:space="0" w:color="CCCCCC"/>
              <w:left w:val="single" w:sz="4" w:space="0" w:color="CCCCCC"/>
              <w:bottom w:val="single" w:sz="4" w:space="0" w:color="CCCCCC"/>
              <w:right w:val="single" w:sz="4" w:space="0" w:color="CCCCCC"/>
            </w:tcBorders>
            <w:shd w:val="clear" w:color="auto" w:fill="D9F2D0" w:themeFill="accent6" w:themeFillTint="33"/>
            <w:tcMar>
              <w:top w:w="60" w:type="dxa"/>
              <w:left w:w="100" w:type="dxa"/>
              <w:bottom w:w="60" w:type="dxa"/>
              <w:right w:w="100" w:type="dxa"/>
            </w:tcMar>
          </w:tcPr>
          <w:p w14:paraId="6CFD72C5" w14:textId="77777777" w:rsidR="00151C88" w:rsidRPr="002112CD" w:rsidRDefault="000C39A1" w:rsidP="00067795">
            <w:pPr>
              <w:contextualSpacing/>
              <w:jc w:val="center"/>
              <w:rPr>
                <w:rFonts w:ascii="Verdana" w:hAnsi="Verdana"/>
              </w:rPr>
            </w:pPr>
            <w:r w:rsidRPr="002112CD">
              <w:rPr>
                <w:rFonts w:ascii="Verdana" w:hAnsi="Verdana"/>
                <w:b/>
                <w:bCs/>
                <w:color w:val="000000"/>
              </w:rPr>
              <w:t>Yes</w:t>
            </w:r>
          </w:p>
        </w:tc>
      </w:tr>
      <w:tr w:rsidR="00151C88" w:rsidRPr="002112CD" w14:paraId="6CFD72C9" w14:textId="77777777" w:rsidTr="00E91A28">
        <w:tc>
          <w:tcPr>
            <w:tcW w:w="2500" w:type="pct"/>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C7" w14:textId="77777777" w:rsidR="00151C88" w:rsidRPr="002112CD" w:rsidRDefault="000C39A1" w:rsidP="00067795">
            <w:pPr>
              <w:contextualSpacing/>
              <w:rPr>
                <w:rFonts w:ascii="Verdana" w:hAnsi="Verdana"/>
              </w:rPr>
            </w:pPr>
            <w:r w:rsidRPr="002112CD">
              <w:rPr>
                <w:rFonts w:ascii="Verdana" w:hAnsi="Verdana"/>
                <w:color w:val="000000"/>
              </w:rPr>
              <w:t>6. Availability and Utilisation of Flexible Work and Leave</w:t>
            </w:r>
          </w:p>
        </w:tc>
        <w:tc>
          <w:tcPr>
            <w:tcW w:w="2500" w:type="pct"/>
            <w:tcBorders>
              <w:top w:val="single" w:sz="4" w:space="0" w:color="CCCCCC"/>
              <w:left w:val="single" w:sz="4" w:space="0" w:color="CCCCCC"/>
              <w:bottom w:val="single" w:sz="4" w:space="0" w:color="CCCCCC"/>
              <w:right w:val="single" w:sz="4" w:space="0" w:color="CCCCCC"/>
            </w:tcBorders>
            <w:shd w:val="clear" w:color="auto" w:fill="D9F2D0" w:themeFill="accent6" w:themeFillTint="33"/>
            <w:tcMar>
              <w:top w:w="60" w:type="dxa"/>
              <w:left w:w="100" w:type="dxa"/>
              <w:bottom w:w="60" w:type="dxa"/>
              <w:right w:w="100" w:type="dxa"/>
            </w:tcMar>
          </w:tcPr>
          <w:p w14:paraId="6CFD72C8" w14:textId="39689269" w:rsidR="00151C88" w:rsidRPr="002112CD" w:rsidRDefault="00E91A28" w:rsidP="00067795">
            <w:pPr>
              <w:contextualSpacing/>
              <w:jc w:val="center"/>
              <w:rPr>
                <w:rFonts w:ascii="Verdana" w:hAnsi="Verdana"/>
                <w:b/>
                <w:bCs/>
              </w:rPr>
            </w:pPr>
            <w:r w:rsidRPr="002112CD">
              <w:rPr>
                <w:rFonts w:ascii="Verdana" w:hAnsi="Verdana"/>
                <w:b/>
                <w:bCs/>
              </w:rPr>
              <w:t>Yes</w:t>
            </w:r>
          </w:p>
        </w:tc>
      </w:tr>
      <w:tr w:rsidR="00151C88" w:rsidRPr="002112CD" w14:paraId="6CFD72CC" w14:textId="77777777" w:rsidTr="00E91A28">
        <w:tc>
          <w:tcPr>
            <w:tcW w:w="2500" w:type="pct"/>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14:paraId="6CFD72CA" w14:textId="77777777" w:rsidR="00151C88" w:rsidRPr="002112CD" w:rsidRDefault="000C39A1" w:rsidP="00067795">
            <w:pPr>
              <w:contextualSpacing/>
              <w:rPr>
                <w:rFonts w:ascii="Verdana" w:hAnsi="Verdana"/>
              </w:rPr>
            </w:pPr>
            <w:r w:rsidRPr="002112CD">
              <w:rPr>
                <w:rFonts w:ascii="Verdana" w:hAnsi="Verdana"/>
                <w:color w:val="000000"/>
              </w:rPr>
              <w:t>7. Gendered Segregation Within the Workplace</w:t>
            </w:r>
          </w:p>
        </w:tc>
        <w:tc>
          <w:tcPr>
            <w:tcW w:w="2500" w:type="pct"/>
            <w:tcBorders>
              <w:top w:val="single" w:sz="4" w:space="0" w:color="CCCCCC"/>
              <w:left w:val="single" w:sz="4" w:space="0" w:color="CCCCCC"/>
              <w:bottom w:val="single" w:sz="4" w:space="0" w:color="CCCCCC"/>
              <w:right w:val="single" w:sz="4" w:space="0" w:color="CCCCCC"/>
            </w:tcBorders>
            <w:shd w:val="clear" w:color="auto" w:fill="D9F2D0" w:themeFill="accent6" w:themeFillTint="33"/>
            <w:tcMar>
              <w:top w:w="60" w:type="dxa"/>
              <w:left w:w="100" w:type="dxa"/>
              <w:bottom w:w="60" w:type="dxa"/>
              <w:right w:w="100" w:type="dxa"/>
            </w:tcMar>
          </w:tcPr>
          <w:p w14:paraId="6CFD72CB" w14:textId="0DDBA125" w:rsidR="00151C88" w:rsidRPr="002112CD" w:rsidRDefault="00E91A28" w:rsidP="00067795">
            <w:pPr>
              <w:contextualSpacing/>
              <w:jc w:val="center"/>
              <w:rPr>
                <w:rFonts w:ascii="Verdana" w:hAnsi="Verdana"/>
                <w:b/>
                <w:bCs/>
              </w:rPr>
            </w:pPr>
            <w:r w:rsidRPr="002112CD">
              <w:rPr>
                <w:rFonts w:ascii="Verdana" w:hAnsi="Verdana"/>
                <w:b/>
                <w:bCs/>
              </w:rPr>
              <w:t>Yes</w:t>
            </w:r>
          </w:p>
        </w:tc>
      </w:tr>
    </w:tbl>
    <w:p w14:paraId="6CFD72CD" w14:textId="77777777" w:rsidR="00151C88" w:rsidRPr="002112CD" w:rsidRDefault="00151C88" w:rsidP="00067795">
      <w:pPr>
        <w:contextualSpacing/>
        <w:rPr>
          <w:rFonts w:ascii="Verdana" w:hAnsi="Verdana"/>
        </w:rPr>
      </w:pPr>
    </w:p>
    <w:p w14:paraId="790AA888" w14:textId="1632F711" w:rsidR="004C0FA9" w:rsidRPr="002112CD" w:rsidRDefault="000C39A1" w:rsidP="00067795">
      <w:pPr>
        <w:contextualSpacing/>
        <w:rPr>
          <w:rFonts w:ascii="Verdana" w:hAnsi="Verdana"/>
        </w:rPr>
      </w:pPr>
      <w:r w:rsidRPr="002112CD">
        <w:rPr>
          <w:rFonts w:ascii="Verdana" w:hAnsi="Verdana"/>
        </w:rPr>
        <w:t>Step 1: Reporting on Gender Impact Assessments (GIAs)</w:t>
      </w:r>
    </w:p>
    <w:p w14:paraId="28F05621" w14:textId="77777777" w:rsidR="004C0FA9" w:rsidRDefault="004C0FA9" w:rsidP="00067795">
      <w:pPr>
        <w:contextualSpacing/>
        <w:rPr>
          <w:rFonts w:ascii="Verdana" w:hAnsi="Verdana"/>
        </w:rPr>
      </w:pPr>
      <w:r w:rsidRPr="002112CD">
        <w:rPr>
          <w:rFonts w:ascii="Verdana" w:hAnsi="Verdana"/>
        </w:rPr>
        <w:t xml:space="preserve">The </w:t>
      </w:r>
      <w:r w:rsidRPr="002112CD">
        <w:rPr>
          <w:rFonts w:ascii="Verdana" w:hAnsi="Verdana"/>
          <w:i/>
          <w:iCs/>
        </w:rPr>
        <w:t>Gender Equality Act 2020</w:t>
      </w:r>
      <w:r w:rsidRPr="002112CD">
        <w:rPr>
          <w:rFonts w:ascii="Verdana" w:hAnsi="Verdana"/>
        </w:rPr>
        <w:t xml:space="preserve"> requires organisations to undertake GIAs on policies, programs, and services that have a direct and significant impact on the public.</w:t>
      </w:r>
    </w:p>
    <w:p w14:paraId="0B01037D" w14:textId="77777777" w:rsidR="00462D57" w:rsidRPr="002112CD" w:rsidRDefault="00462D57" w:rsidP="00067795">
      <w:pPr>
        <w:contextualSpacing/>
        <w:rPr>
          <w:rFonts w:ascii="Verdana" w:hAnsi="Verdana"/>
        </w:rPr>
      </w:pPr>
    </w:p>
    <w:p w14:paraId="3713AFBC" w14:textId="77777777" w:rsidR="00BC2727" w:rsidRDefault="00BC2727">
      <w:pPr>
        <w:rPr>
          <w:rFonts w:ascii="Verdana" w:hAnsi="Verdana"/>
          <w:b/>
          <w:bCs/>
          <w:color w:val="2E75B6"/>
          <w:sz w:val="22"/>
          <w:szCs w:val="26"/>
        </w:rPr>
      </w:pPr>
      <w:r>
        <w:rPr>
          <w:rFonts w:ascii="Verdana" w:hAnsi="Verdana"/>
        </w:rPr>
        <w:br w:type="page"/>
      </w:r>
    </w:p>
    <w:p w14:paraId="2724F90C" w14:textId="34623839" w:rsidR="004C0FA9" w:rsidRPr="002112CD" w:rsidRDefault="004C0FA9" w:rsidP="00067795">
      <w:pPr>
        <w:pStyle w:val="Heading2"/>
        <w:spacing w:before="0" w:after="0"/>
        <w:contextualSpacing/>
        <w:rPr>
          <w:rFonts w:ascii="Verdana" w:hAnsi="Verdana"/>
        </w:rPr>
      </w:pPr>
      <w:r w:rsidRPr="002112CD">
        <w:rPr>
          <w:rFonts w:ascii="Verdana" w:hAnsi="Verdana"/>
        </w:rPr>
        <w:lastRenderedPageBreak/>
        <w:t>Section 1.1: Confirming GIA Exemptions</w:t>
      </w:r>
    </w:p>
    <w:p w14:paraId="5072F8A8" w14:textId="77777777" w:rsidR="004C0FA9" w:rsidRPr="002112CD" w:rsidRDefault="004C0FA9" w:rsidP="00067795">
      <w:pPr>
        <w:contextualSpacing/>
        <w:rPr>
          <w:rFonts w:ascii="Verdana" w:hAnsi="Verdana"/>
        </w:rPr>
      </w:pPr>
      <w:r w:rsidRPr="002112CD">
        <w:rPr>
          <w:rFonts w:ascii="Segoe UI Symbol" w:hAnsi="Segoe UI Symbol" w:cs="Segoe UI Symbol"/>
        </w:rPr>
        <w:t>☒</w:t>
      </w:r>
      <w:r w:rsidRPr="002112CD">
        <w:rPr>
          <w:rFonts w:ascii="Verdana" w:hAnsi="Verdana"/>
        </w:rPr>
        <w:t xml:space="preserve"> None of these apply (go to 1.2).</w:t>
      </w:r>
    </w:p>
    <w:p w14:paraId="2286D2BF" w14:textId="3BC1A9E9" w:rsidR="00580E1F" w:rsidRDefault="00A317F1">
      <w:pPr>
        <w:contextualSpacing/>
        <w:rPr>
          <w:rFonts w:ascii="Verdana" w:hAnsi="Verdana"/>
        </w:rPr>
      </w:pPr>
      <w:r w:rsidRPr="002112CD">
        <w:rPr>
          <w:rFonts w:ascii="Verdana" w:hAnsi="Verdana"/>
        </w:rPr>
        <w:t xml:space="preserve">Eye and </w:t>
      </w:r>
      <w:r w:rsidR="00C83281" w:rsidRPr="002112CD">
        <w:rPr>
          <w:rFonts w:ascii="Verdana" w:hAnsi="Verdana"/>
        </w:rPr>
        <w:t>Ear conducted</w:t>
      </w:r>
      <w:r w:rsidRPr="002112CD">
        <w:rPr>
          <w:rFonts w:ascii="Verdana" w:hAnsi="Verdana"/>
        </w:rPr>
        <w:t xml:space="preserve"> </w:t>
      </w:r>
      <w:r w:rsidR="00151956" w:rsidRPr="002112CD">
        <w:rPr>
          <w:rFonts w:ascii="Verdana" w:hAnsi="Verdana"/>
        </w:rPr>
        <w:t>1</w:t>
      </w:r>
      <w:r w:rsidR="00151956">
        <w:rPr>
          <w:rFonts w:ascii="Verdana" w:hAnsi="Verdana"/>
        </w:rPr>
        <w:t>0</w:t>
      </w:r>
      <w:r w:rsidR="00151956" w:rsidRPr="002112CD">
        <w:rPr>
          <w:rFonts w:ascii="Verdana" w:hAnsi="Verdana"/>
        </w:rPr>
        <w:t xml:space="preserve"> </w:t>
      </w:r>
      <w:r w:rsidRPr="002112CD">
        <w:rPr>
          <w:rFonts w:ascii="Verdana" w:hAnsi="Verdana"/>
        </w:rPr>
        <w:t>gender impact assessments during the reporting period. No exemptions apply.</w:t>
      </w:r>
    </w:p>
    <w:p w14:paraId="3860098C" w14:textId="77777777" w:rsidR="00BC2727" w:rsidRPr="002112CD" w:rsidRDefault="00BC2727">
      <w:pPr>
        <w:contextualSpacing/>
        <w:rPr>
          <w:rFonts w:ascii="Verdana" w:hAnsi="Verdana"/>
          <w:b/>
          <w:bCs/>
          <w:color w:val="2E75B6"/>
          <w:sz w:val="22"/>
          <w:szCs w:val="26"/>
        </w:rPr>
      </w:pPr>
    </w:p>
    <w:p w14:paraId="1C9A70E7" w14:textId="6592F316" w:rsidR="001F1ABF" w:rsidRPr="002112CD" w:rsidRDefault="004C0FA9" w:rsidP="00067795">
      <w:pPr>
        <w:pStyle w:val="Heading2"/>
        <w:spacing w:before="0" w:after="0"/>
        <w:contextualSpacing/>
        <w:rPr>
          <w:rFonts w:ascii="Verdana" w:hAnsi="Verdana"/>
        </w:rPr>
      </w:pPr>
      <w:r w:rsidRPr="002112CD">
        <w:rPr>
          <w:rFonts w:ascii="Verdana" w:hAnsi="Verdana"/>
        </w:rPr>
        <w:t>Section 1.2: Describing Policies, Programs and Services Subject to a GIA</w:t>
      </w:r>
    </w:p>
    <w:p w14:paraId="0C1EC78A" w14:textId="25F517F2" w:rsidR="001F1ABF" w:rsidRPr="002112CD" w:rsidRDefault="001F1ABF" w:rsidP="00067795">
      <w:pPr>
        <w:pStyle w:val="Heading2"/>
        <w:spacing w:before="0" w:after="0"/>
        <w:contextualSpacing/>
        <w:rPr>
          <w:rFonts w:ascii="Verdana" w:hAnsi="Verdana"/>
        </w:rPr>
      </w:pPr>
    </w:p>
    <w:tbl>
      <w:tblPr>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
        <w:gridCol w:w="1799"/>
        <w:gridCol w:w="1052"/>
        <w:gridCol w:w="4122"/>
        <w:gridCol w:w="1069"/>
        <w:gridCol w:w="6197"/>
      </w:tblGrid>
      <w:tr w:rsidR="00B26D38" w:rsidRPr="00462D57" w14:paraId="19AD6783" w14:textId="77777777" w:rsidTr="00654D0A">
        <w:trPr>
          <w:trHeight w:val="510"/>
          <w:tblHeader/>
        </w:trPr>
        <w:tc>
          <w:tcPr>
            <w:tcW w:w="6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34492E1F" w14:textId="77777777" w:rsidR="004C0FA9" w:rsidRPr="00462D57" w:rsidRDefault="004C0FA9" w:rsidP="00067795">
            <w:pPr>
              <w:contextualSpacing/>
              <w:rPr>
                <w:rFonts w:ascii="Verdana" w:hAnsi="Verdana"/>
              </w:rPr>
            </w:pPr>
            <w:r w:rsidRPr="00462D57">
              <w:rPr>
                <w:rFonts w:ascii="Verdana" w:hAnsi="Verdana"/>
                <w:b/>
                <w:bCs/>
              </w:rPr>
              <w:t>Ref #</w:t>
            </w:r>
          </w:p>
        </w:tc>
        <w:tc>
          <w:tcPr>
            <w:tcW w:w="18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767B3339" w14:textId="77777777" w:rsidR="004C0FA9" w:rsidRPr="00462D57" w:rsidRDefault="004C0FA9" w:rsidP="00067795">
            <w:pPr>
              <w:contextualSpacing/>
              <w:rPr>
                <w:rFonts w:ascii="Verdana" w:hAnsi="Verdana"/>
              </w:rPr>
            </w:pPr>
            <w:r w:rsidRPr="00462D57">
              <w:rPr>
                <w:rFonts w:ascii="Verdana" w:hAnsi="Verdana"/>
                <w:b/>
                <w:bCs/>
              </w:rPr>
              <w:t>A: Title</w:t>
            </w:r>
          </w:p>
        </w:tc>
        <w:tc>
          <w:tcPr>
            <w:tcW w:w="9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6F691B59" w14:textId="77777777" w:rsidR="004C0FA9" w:rsidRPr="00462D57" w:rsidRDefault="004C0FA9" w:rsidP="00067795">
            <w:pPr>
              <w:contextualSpacing/>
              <w:rPr>
                <w:rFonts w:ascii="Verdana" w:hAnsi="Verdana"/>
              </w:rPr>
            </w:pPr>
            <w:r w:rsidRPr="00462D57">
              <w:rPr>
                <w:rFonts w:ascii="Verdana" w:hAnsi="Verdana"/>
                <w:b/>
                <w:bCs/>
              </w:rPr>
              <w:t>B: Subject</w:t>
            </w:r>
          </w:p>
        </w:tc>
        <w:tc>
          <w:tcPr>
            <w:tcW w:w="42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2E4B1919" w14:textId="77777777" w:rsidR="004C0FA9" w:rsidRPr="00462D57" w:rsidRDefault="004C0FA9" w:rsidP="00067795">
            <w:pPr>
              <w:contextualSpacing/>
              <w:rPr>
                <w:rFonts w:ascii="Verdana" w:hAnsi="Verdana"/>
              </w:rPr>
            </w:pPr>
            <w:r w:rsidRPr="00462D57">
              <w:rPr>
                <w:rFonts w:ascii="Verdana" w:hAnsi="Verdana"/>
                <w:b/>
                <w:bCs/>
              </w:rPr>
              <w:t>C: Description</w:t>
            </w:r>
          </w:p>
        </w:tc>
        <w:tc>
          <w:tcPr>
            <w:tcW w:w="10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120E9FFD" w14:textId="77777777" w:rsidR="004C0FA9" w:rsidRPr="00462D57" w:rsidRDefault="004C0FA9" w:rsidP="00067795">
            <w:pPr>
              <w:contextualSpacing/>
              <w:rPr>
                <w:rFonts w:ascii="Verdana" w:hAnsi="Verdana"/>
              </w:rPr>
            </w:pPr>
            <w:r w:rsidRPr="00462D57">
              <w:rPr>
                <w:rFonts w:ascii="Verdana" w:hAnsi="Verdana"/>
                <w:b/>
                <w:bCs/>
              </w:rPr>
              <w:t>D: Status</w:t>
            </w:r>
          </w:p>
        </w:tc>
        <w:tc>
          <w:tcPr>
            <w:tcW w:w="6338"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561C6076" w14:textId="77777777" w:rsidR="004C0FA9" w:rsidRPr="00462D57" w:rsidRDefault="004C0FA9" w:rsidP="00067795">
            <w:pPr>
              <w:contextualSpacing/>
              <w:rPr>
                <w:rFonts w:ascii="Verdana" w:hAnsi="Verdana"/>
              </w:rPr>
            </w:pPr>
            <w:r w:rsidRPr="00462D57">
              <w:rPr>
                <w:rFonts w:ascii="Verdana" w:hAnsi="Verdana"/>
                <w:b/>
                <w:bCs/>
              </w:rPr>
              <w:t>E: Gendered Impacts</w:t>
            </w:r>
          </w:p>
        </w:tc>
      </w:tr>
      <w:tr w:rsidR="004C0FA9" w:rsidRPr="00462D57" w14:paraId="1EFED07C" w14:textId="77777777" w:rsidTr="00654D0A">
        <w:trPr>
          <w:trHeight w:val="510"/>
        </w:trPr>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68BB7F" w14:textId="77777777" w:rsidR="004C0FA9" w:rsidRPr="00462D57" w:rsidRDefault="004C0FA9" w:rsidP="00067795">
            <w:pPr>
              <w:contextualSpacing/>
              <w:rPr>
                <w:rFonts w:ascii="Verdana" w:hAnsi="Verdana"/>
              </w:rPr>
            </w:pPr>
            <w:r w:rsidRPr="00462D57">
              <w:rPr>
                <w:rFonts w:ascii="Verdana" w:hAnsi="Verdana"/>
              </w:rPr>
              <w:t>1</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EDC5BC" w14:textId="77777777" w:rsidR="004C0FA9" w:rsidRPr="00462D57" w:rsidRDefault="004C0FA9" w:rsidP="00067795">
            <w:pPr>
              <w:contextualSpacing/>
              <w:rPr>
                <w:rFonts w:ascii="Verdana" w:hAnsi="Verdana"/>
              </w:rPr>
            </w:pPr>
            <w:r w:rsidRPr="00462D57">
              <w:rPr>
                <w:rFonts w:ascii="Verdana" w:hAnsi="Verdana"/>
              </w:rPr>
              <w:t>Remote After Care Program (Datos Digital Solution)</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4C7ABE4" w14:textId="77777777" w:rsidR="004C0FA9" w:rsidRPr="00462D57" w:rsidRDefault="004C0FA9" w:rsidP="00067795">
            <w:pPr>
              <w:contextualSpacing/>
              <w:rPr>
                <w:rFonts w:ascii="Verdana" w:hAnsi="Verdana"/>
              </w:rPr>
            </w:pPr>
            <w:r w:rsidRPr="00462D57">
              <w:rPr>
                <w:rFonts w:ascii="Verdana" w:hAnsi="Verdana"/>
              </w:rPr>
              <w:t>Service</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B1A2790" w14:textId="3992106A" w:rsidR="004C0FA9" w:rsidRPr="00462D57" w:rsidRDefault="004C0FA9" w:rsidP="00067795">
            <w:pPr>
              <w:contextualSpacing/>
              <w:rPr>
                <w:rFonts w:ascii="Verdana" w:hAnsi="Verdana"/>
              </w:rPr>
            </w:pPr>
            <w:r w:rsidRPr="00462D57">
              <w:rPr>
                <w:rFonts w:ascii="Verdana" w:hAnsi="Verdana"/>
              </w:rPr>
              <w:t xml:space="preserve">Implementation of the Datos remote patient monitoring platform at </w:t>
            </w:r>
            <w:r w:rsidR="00D26BB9">
              <w:rPr>
                <w:rFonts w:ascii="Verdana" w:hAnsi="Verdana"/>
              </w:rPr>
              <w:t xml:space="preserve">the </w:t>
            </w:r>
            <w:r w:rsidRPr="00462D57">
              <w:rPr>
                <w:rFonts w:ascii="Verdana" w:hAnsi="Verdana"/>
              </w:rPr>
              <w:t xml:space="preserve">Eye and Ear, enabling personalised automated care programs through interactive </w:t>
            </w:r>
            <w:proofErr w:type="spellStart"/>
            <w:r w:rsidRPr="00462D57">
              <w:rPr>
                <w:rFonts w:ascii="Verdana" w:hAnsi="Verdana"/>
              </w:rPr>
              <w:t>CareApps</w:t>
            </w:r>
            <w:proofErr w:type="spellEnd"/>
            <w:r w:rsidRPr="00462D57">
              <w:rPr>
                <w:rFonts w:ascii="Verdana" w:hAnsi="Verdana"/>
              </w:rPr>
              <w:t xml:space="preserve"> that gather biometrics and patient-reported outcome measures, offer self-care guidance, send alerts to the healthcare team, and support virtual visits. The platform facilitates hybrid care models for post-operative and ongoing patient monitoring.</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56CA212" w14:textId="4C859188" w:rsidR="004C0FA9" w:rsidRPr="00462D57" w:rsidRDefault="00E77637" w:rsidP="00067795">
            <w:pPr>
              <w:contextualSpacing/>
              <w:rPr>
                <w:rFonts w:ascii="Verdana" w:hAnsi="Verdana"/>
              </w:rPr>
            </w:pPr>
            <w:r w:rsidRPr="00462D57">
              <w:rPr>
                <w:rFonts w:ascii="Verdana" w:hAnsi="Verdana"/>
              </w:rPr>
              <w:t>New</w:t>
            </w:r>
          </w:p>
        </w:tc>
        <w:tc>
          <w:tcPr>
            <w:tcW w:w="63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3924F74" w14:textId="77777777" w:rsidR="004C0FA9" w:rsidRPr="00462D57" w:rsidRDefault="004C0FA9" w:rsidP="00067795">
            <w:pPr>
              <w:contextualSpacing/>
              <w:rPr>
                <w:rFonts w:ascii="Verdana" w:hAnsi="Verdana"/>
              </w:rPr>
            </w:pPr>
            <w:r w:rsidRPr="00462D57">
              <w:rPr>
                <w:rFonts w:ascii="Verdana" w:hAnsi="Verdana"/>
              </w:rPr>
              <w:t>Digital health solutions risk creating access barriers for patients with lower digital literacy or limited technology access, with these barriers disproportionately affecting older women, women from culturally and linguistically diverse backgrounds, and women experiencing socioeconomic disadvantage. The assessment identified the need for alternative access pathways (phone-based nurse consultations, paper-based forms), multilingual support through interpreter services, culturally sensitive design developed through consumer consultation, and gender-specific questionnaire content capturing relevant symptoms and health needs.</w:t>
            </w:r>
          </w:p>
        </w:tc>
      </w:tr>
      <w:tr w:rsidR="004C0FA9" w:rsidRPr="00462D57" w14:paraId="6B2D514A" w14:textId="77777777" w:rsidTr="00654D0A">
        <w:trPr>
          <w:trHeight w:val="510"/>
        </w:trPr>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090F97E" w14:textId="77777777" w:rsidR="004C0FA9" w:rsidRPr="00462D57" w:rsidRDefault="004C0FA9" w:rsidP="00067795">
            <w:pPr>
              <w:contextualSpacing/>
              <w:rPr>
                <w:rFonts w:ascii="Verdana" w:hAnsi="Verdana"/>
              </w:rPr>
            </w:pPr>
            <w:r w:rsidRPr="00462D57">
              <w:rPr>
                <w:rFonts w:ascii="Verdana" w:hAnsi="Verdana"/>
              </w:rPr>
              <w:t>2</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C02573" w14:textId="77777777" w:rsidR="004C0FA9" w:rsidRPr="00462D57" w:rsidRDefault="004C0FA9" w:rsidP="00067795">
            <w:pPr>
              <w:contextualSpacing/>
              <w:rPr>
                <w:rFonts w:ascii="Verdana" w:hAnsi="Verdana"/>
              </w:rPr>
            </w:pPr>
            <w:r w:rsidRPr="00462D57">
              <w:rPr>
                <w:rFonts w:ascii="Verdana" w:hAnsi="Verdana"/>
              </w:rPr>
              <w:t>Signage and Wayfinding Rectification Works</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A697BFB" w14:textId="77777777" w:rsidR="004C0FA9" w:rsidRPr="00462D57" w:rsidRDefault="004C0FA9" w:rsidP="00067795">
            <w:pPr>
              <w:contextualSpacing/>
              <w:rPr>
                <w:rFonts w:ascii="Verdana" w:hAnsi="Verdana"/>
              </w:rPr>
            </w:pPr>
            <w:r w:rsidRPr="00462D57">
              <w:rPr>
                <w:rFonts w:ascii="Verdana" w:hAnsi="Verdana"/>
              </w:rPr>
              <w:t>Service</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BC5FF6F" w14:textId="77777777" w:rsidR="004C0FA9" w:rsidRPr="00462D57" w:rsidRDefault="004C0FA9" w:rsidP="00067795">
            <w:pPr>
              <w:contextualSpacing/>
              <w:rPr>
                <w:rFonts w:ascii="Verdana" w:hAnsi="Verdana"/>
              </w:rPr>
            </w:pPr>
            <w:r w:rsidRPr="00462D57">
              <w:rPr>
                <w:rFonts w:ascii="Verdana" w:hAnsi="Verdana"/>
              </w:rPr>
              <w:t>Review and rectification of wayfinding and signage on the ground floor and level 1 following feedback that wayfinding was insufficient after the hospital redevelopment. A Wayfinding and Artwork Working Group was established to prioritise signage improvements based on feedback from staff, volunteers, consumers, and patients.</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5E52874" w14:textId="3D02EB12" w:rsidR="004C0FA9" w:rsidRPr="00462D57" w:rsidRDefault="00E77637" w:rsidP="00067795">
            <w:pPr>
              <w:contextualSpacing/>
              <w:rPr>
                <w:rFonts w:ascii="Verdana" w:hAnsi="Verdana"/>
              </w:rPr>
            </w:pPr>
            <w:r w:rsidRPr="00462D57">
              <w:rPr>
                <w:rFonts w:ascii="Verdana" w:hAnsi="Verdana"/>
              </w:rPr>
              <w:t>Review</w:t>
            </w:r>
          </w:p>
        </w:tc>
        <w:tc>
          <w:tcPr>
            <w:tcW w:w="63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4DCFE4" w14:textId="77777777" w:rsidR="004C0FA9" w:rsidRPr="00462D57" w:rsidRDefault="004C0FA9" w:rsidP="00067795">
            <w:pPr>
              <w:contextualSpacing/>
              <w:rPr>
                <w:rFonts w:ascii="Verdana" w:hAnsi="Verdana"/>
              </w:rPr>
            </w:pPr>
            <w:r w:rsidRPr="00462D57">
              <w:rPr>
                <w:rFonts w:ascii="Verdana" w:hAnsi="Verdana"/>
              </w:rPr>
              <w:t>Wayfinding barriers affect patients differently based on gender intersecting with vision impairment, mobility, cultural and linguistic background, and age. The assessment identified that inadequate signage disproportionately affects patients who cannot easily ask for assistance due to language barriers, those with vision impairments requiring specific sign design, and older patients who may face compounding barriers of age and gender.</w:t>
            </w:r>
          </w:p>
        </w:tc>
      </w:tr>
      <w:tr w:rsidR="004C0FA9" w:rsidRPr="00462D57" w14:paraId="18448723" w14:textId="77777777" w:rsidTr="00654D0A">
        <w:trPr>
          <w:trHeight w:val="510"/>
        </w:trPr>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948090" w14:textId="77777777" w:rsidR="004C0FA9" w:rsidRPr="00462D57" w:rsidRDefault="004C0FA9" w:rsidP="00067795">
            <w:pPr>
              <w:contextualSpacing/>
              <w:rPr>
                <w:rFonts w:ascii="Verdana" w:hAnsi="Verdana"/>
              </w:rPr>
            </w:pPr>
            <w:r w:rsidRPr="00462D57">
              <w:rPr>
                <w:rFonts w:ascii="Verdana" w:hAnsi="Verdana"/>
              </w:rPr>
              <w:t>3</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014F7BF" w14:textId="77777777" w:rsidR="004C0FA9" w:rsidRPr="00462D57" w:rsidRDefault="004C0FA9" w:rsidP="00067795">
            <w:pPr>
              <w:contextualSpacing/>
              <w:rPr>
                <w:rFonts w:ascii="Verdana" w:hAnsi="Verdana"/>
              </w:rPr>
            </w:pPr>
            <w:r w:rsidRPr="00462D57">
              <w:rPr>
                <w:rFonts w:ascii="Verdana" w:hAnsi="Verdana"/>
              </w:rPr>
              <w:t>Patient Communication Boards</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F710F4A" w14:textId="77777777" w:rsidR="004C0FA9" w:rsidRPr="00462D57" w:rsidRDefault="004C0FA9" w:rsidP="00067795">
            <w:pPr>
              <w:contextualSpacing/>
              <w:rPr>
                <w:rFonts w:ascii="Verdana" w:hAnsi="Verdana"/>
              </w:rPr>
            </w:pPr>
            <w:r w:rsidRPr="00462D57">
              <w:rPr>
                <w:rFonts w:ascii="Verdana" w:hAnsi="Verdana"/>
              </w:rPr>
              <w:t>Service</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64467F" w14:textId="77777777" w:rsidR="004C0FA9" w:rsidRPr="00462D57" w:rsidRDefault="004C0FA9" w:rsidP="00067795">
            <w:pPr>
              <w:contextualSpacing/>
              <w:rPr>
                <w:rFonts w:ascii="Verdana" w:hAnsi="Verdana"/>
              </w:rPr>
            </w:pPr>
            <w:r w:rsidRPr="00462D57">
              <w:rPr>
                <w:rFonts w:ascii="Verdana" w:hAnsi="Verdana"/>
              </w:rPr>
              <w:t xml:space="preserve">Development of Patient Communication Boards for the Inpatient Ward in response to patient feedback about insufficient communication from staff. The boards aim to improve communication, reduce frustration, and enhance </w:t>
            </w:r>
            <w:r w:rsidRPr="00462D57">
              <w:rPr>
                <w:rFonts w:ascii="Verdana" w:hAnsi="Verdana"/>
              </w:rPr>
              <w:lastRenderedPageBreak/>
              <w:t>patient safety by providing clear and updated care information.</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F17451" w14:textId="59F140E6" w:rsidR="004C0FA9" w:rsidRPr="00462D57" w:rsidRDefault="00E77637" w:rsidP="00067795">
            <w:pPr>
              <w:contextualSpacing/>
              <w:rPr>
                <w:rFonts w:ascii="Verdana" w:hAnsi="Verdana"/>
              </w:rPr>
            </w:pPr>
            <w:r w:rsidRPr="00462D57">
              <w:rPr>
                <w:rFonts w:ascii="Verdana" w:hAnsi="Verdana"/>
              </w:rPr>
              <w:lastRenderedPageBreak/>
              <w:t>New</w:t>
            </w:r>
          </w:p>
        </w:tc>
        <w:tc>
          <w:tcPr>
            <w:tcW w:w="63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E081CC4" w14:textId="77777777" w:rsidR="004C0FA9" w:rsidRPr="00462D57" w:rsidRDefault="004C0FA9" w:rsidP="00067795">
            <w:pPr>
              <w:contextualSpacing/>
              <w:rPr>
                <w:rFonts w:ascii="Verdana" w:hAnsi="Verdana"/>
              </w:rPr>
            </w:pPr>
            <w:r w:rsidRPr="00462D57">
              <w:rPr>
                <w:rFonts w:ascii="Verdana" w:hAnsi="Verdana"/>
              </w:rPr>
              <w:t>Communication barriers in inpatient settings affect patients differently based on gender intersecting with vision impairment, language proficiency, and health literacy. The assessment identified that patients with vision impairments or language barriers require additional support to access information provided through visual communication boards.</w:t>
            </w:r>
          </w:p>
        </w:tc>
      </w:tr>
      <w:tr w:rsidR="004C0FA9" w:rsidRPr="00462D57" w14:paraId="1D8D04D6" w14:textId="77777777" w:rsidTr="00654D0A">
        <w:trPr>
          <w:trHeight w:val="510"/>
        </w:trPr>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010DFA" w14:textId="77777777" w:rsidR="004C0FA9" w:rsidRPr="00462D57" w:rsidRDefault="004C0FA9" w:rsidP="00067795">
            <w:pPr>
              <w:contextualSpacing/>
              <w:rPr>
                <w:rFonts w:ascii="Verdana" w:hAnsi="Verdana"/>
              </w:rPr>
            </w:pPr>
            <w:r w:rsidRPr="00462D57">
              <w:rPr>
                <w:rFonts w:ascii="Verdana" w:hAnsi="Verdana"/>
              </w:rPr>
              <w:t>4</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B81F580" w14:textId="77777777" w:rsidR="004C0FA9" w:rsidRPr="00462D57" w:rsidRDefault="004C0FA9" w:rsidP="00067795">
            <w:pPr>
              <w:contextualSpacing/>
              <w:rPr>
                <w:rFonts w:ascii="Verdana" w:hAnsi="Verdana"/>
              </w:rPr>
            </w:pPr>
            <w:r w:rsidRPr="00462D57">
              <w:rPr>
                <w:rFonts w:ascii="Verdana" w:hAnsi="Verdana"/>
              </w:rPr>
              <w:t>Age Related Macular Degeneration Discharge Information Sheet</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B42CDB" w14:textId="77777777" w:rsidR="004C0FA9" w:rsidRPr="00462D57" w:rsidRDefault="004C0FA9" w:rsidP="00067795">
            <w:pPr>
              <w:contextualSpacing/>
              <w:rPr>
                <w:rFonts w:ascii="Verdana" w:hAnsi="Verdana"/>
              </w:rPr>
            </w:pPr>
            <w:r w:rsidRPr="00462D57">
              <w:rPr>
                <w:rFonts w:ascii="Verdana" w:hAnsi="Verdana"/>
              </w:rPr>
              <w:t>Service</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29A30D" w14:textId="77777777" w:rsidR="004C0FA9" w:rsidRPr="00462D57" w:rsidRDefault="004C0FA9" w:rsidP="00067795">
            <w:pPr>
              <w:contextualSpacing/>
              <w:rPr>
                <w:rFonts w:ascii="Verdana" w:hAnsi="Verdana"/>
              </w:rPr>
            </w:pPr>
            <w:r w:rsidRPr="00462D57">
              <w:rPr>
                <w:rFonts w:ascii="Verdana" w:hAnsi="Verdana"/>
              </w:rPr>
              <w:t>Development of new discharge information packs for Medical Retina patients to facilitate safe discharge of stable patients back into the community for follow-up. The packs were developed with consumer engagement to ensure information meets patient needs and is written in plain language.</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2610D3A" w14:textId="15FC310C" w:rsidR="004C0FA9" w:rsidRPr="00462D57" w:rsidRDefault="00E77637" w:rsidP="00067795">
            <w:pPr>
              <w:contextualSpacing/>
              <w:rPr>
                <w:rFonts w:ascii="Verdana" w:hAnsi="Verdana"/>
              </w:rPr>
            </w:pPr>
            <w:r w:rsidRPr="00462D57">
              <w:rPr>
                <w:rFonts w:ascii="Verdana" w:hAnsi="Verdana"/>
              </w:rPr>
              <w:t>New</w:t>
            </w:r>
          </w:p>
        </w:tc>
        <w:tc>
          <w:tcPr>
            <w:tcW w:w="63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454C4E" w14:textId="77777777" w:rsidR="004C0FA9" w:rsidRPr="00462D57" w:rsidRDefault="004C0FA9" w:rsidP="00067795">
            <w:pPr>
              <w:contextualSpacing/>
              <w:rPr>
                <w:rFonts w:ascii="Verdana" w:hAnsi="Verdana"/>
              </w:rPr>
            </w:pPr>
            <w:r w:rsidRPr="00462D57">
              <w:rPr>
                <w:rFonts w:ascii="Verdana" w:hAnsi="Verdana"/>
              </w:rPr>
              <w:t>Discharge information accessibility is affected by the intersection of gender with vision impairment, language diversity, and health literacy. Patients with age related macular degeneration have specific vision impairment considerations requiring accessible document design.</w:t>
            </w:r>
          </w:p>
        </w:tc>
      </w:tr>
      <w:tr w:rsidR="004C0FA9" w:rsidRPr="00462D57" w14:paraId="29D8EB85" w14:textId="77777777" w:rsidTr="00654D0A">
        <w:trPr>
          <w:trHeight w:val="510"/>
        </w:trPr>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FF3792" w14:textId="77777777" w:rsidR="004C0FA9" w:rsidRPr="00462D57" w:rsidRDefault="004C0FA9" w:rsidP="00067795">
            <w:pPr>
              <w:contextualSpacing/>
              <w:rPr>
                <w:rFonts w:ascii="Verdana" w:hAnsi="Verdana"/>
              </w:rPr>
            </w:pPr>
            <w:r w:rsidRPr="00462D57">
              <w:rPr>
                <w:rFonts w:ascii="Verdana" w:hAnsi="Verdana"/>
              </w:rPr>
              <w:t>5</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03ADDC" w14:textId="77777777" w:rsidR="004C0FA9" w:rsidRPr="00462D57" w:rsidRDefault="004C0FA9" w:rsidP="00067795">
            <w:pPr>
              <w:contextualSpacing/>
              <w:rPr>
                <w:rFonts w:ascii="Verdana" w:hAnsi="Verdana"/>
              </w:rPr>
            </w:pPr>
            <w:r w:rsidRPr="00462D57">
              <w:rPr>
                <w:rFonts w:ascii="Verdana" w:hAnsi="Verdana"/>
              </w:rPr>
              <w:t>Glaucoma Discharge Information Sheet</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31B840" w14:textId="77777777" w:rsidR="004C0FA9" w:rsidRPr="00462D57" w:rsidRDefault="004C0FA9" w:rsidP="00067795">
            <w:pPr>
              <w:contextualSpacing/>
              <w:rPr>
                <w:rFonts w:ascii="Verdana" w:hAnsi="Verdana"/>
              </w:rPr>
            </w:pPr>
            <w:r w:rsidRPr="00462D57">
              <w:rPr>
                <w:rFonts w:ascii="Verdana" w:hAnsi="Verdana"/>
              </w:rPr>
              <w:t>Service</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763550" w14:textId="067B3533" w:rsidR="004C0FA9" w:rsidRPr="00462D57" w:rsidRDefault="004C0FA9" w:rsidP="00067795">
            <w:pPr>
              <w:contextualSpacing/>
              <w:rPr>
                <w:rFonts w:ascii="Verdana" w:hAnsi="Verdana"/>
              </w:rPr>
            </w:pPr>
            <w:r w:rsidRPr="00462D57">
              <w:rPr>
                <w:rFonts w:ascii="Verdana" w:hAnsi="Verdana"/>
              </w:rPr>
              <w:t>Development of discharge information sheets for Glaucoma patients as part of</w:t>
            </w:r>
            <w:r w:rsidR="006A5AC4">
              <w:rPr>
                <w:rFonts w:ascii="Verdana" w:hAnsi="Verdana"/>
              </w:rPr>
              <w:t xml:space="preserve"> the</w:t>
            </w:r>
            <w:r w:rsidRPr="00462D57">
              <w:rPr>
                <w:rFonts w:ascii="Verdana" w:hAnsi="Verdana"/>
              </w:rPr>
              <w:t xml:space="preserve"> Eye and Ear’s broader initiative to improve discharge pathways and patient information provision.</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E7EB2B" w14:textId="04E8CB24" w:rsidR="004C0FA9" w:rsidRPr="00462D57" w:rsidRDefault="00E77637" w:rsidP="00067795">
            <w:pPr>
              <w:contextualSpacing/>
              <w:rPr>
                <w:rFonts w:ascii="Verdana" w:hAnsi="Verdana"/>
              </w:rPr>
            </w:pPr>
            <w:r w:rsidRPr="00462D57">
              <w:rPr>
                <w:rFonts w:ascii="Verdana" w:hAnsi="Verdana"/>
              </w:rPr>
              <w:t>New</w:t>
            </w:r>
          </w:p>
        </w:tc>
        <w:tc>
          <w:tcPr>
            <w:tcW w:w="63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35B7CC" w14:textId="77777777" w:rsidR="004C0FA9" w:rsidRPr="00462D57" w:rsidRDefault="004C0FA9" w:rsidP="00067795">
            <w:pPr>
              <w:contextualSpacing/>
              <w:rPr>
                <w:rFonts w:ascii="Verdana" w:hAnsi="Verdana"/>
              </w:rPr>
            </w:pPr>
            <w:r w:rsidRPr="00462D57">
              <w:rPr>
                <w:rFonts w:ascii="Verdana" w:hAnsi="Verdana"/>
              </w:rPr>
              <w:t>As with other discharge information initiatives, accessibility is affected by the intersection of gender with vision impairment, language diversity, and health literacy. This initiative is at an early stage of development.</w:t>
            </w:r>
          </w:p>
        </w:tc>
      </w:tr>
      <w:tr w:rsidR="004C0FA9" w:rsidRPr="00462D57" w14:paraId="0B0697F4" w14:textId="77777777" w:rsidTr="00654D0A">
        <w:trPr>
          <w:trHeight w:val="510"/>
        </w:trPr>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D11333" w14:textId="1321822A" w:rsidR="004C0FA9" w:rsidRPr="00462D57" w:rsidRDefault="004D228A" w:rsidP="00067795">
            <w:pPr>
              <w:contextualSpacing/>
              <w:rPr>
                <w:rFonts w:ascii="Verdana" w:hAnsi="Verdana"/>
              </w:rPr>
            </w:pPr>
            <w:r>
              <w:rPr>
                <w:rFonts w:ascii="Verdana" w:hAnsi="Verdana"/>
              </w:rPr>
              <w:t>6</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DA56AF" w14:textId="77777777" w:rsidR="004C0FA9" w:rsidRPr="00462D57" w:rsidRDefault="004C0FA9" w:rsidP="00067795">
            <w:pPr>
              <w:contextualSpacing/>
              <w:rPr>
                <w:rFonts w:ascii="Verdana" w:hAnsi="Verdana"/>
              </w:rPr>
            </w:pPr>
            <w:r w:rsidRPr="00462D57">
              <w:rPr>
                <w:rFonts w:ascii="Verdana" w:hAnsi="Verdana"/>
              </w:rPr>
              <w:t>Specialist Clinic Mobile App</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03C322B" w14:textId="77777777" w:rsidR="004C0FA9" w:rsidRPr="00462D57" w:rsidRDefault="004C0FA9" w:rsidP="00067795">
            <w:pPr>
              <w:contextualSpacing/>
              <w:rPr>
                <w:rFonts w:ascii="Verdana" w:hAnsi="Verdana"/>
              </w:rPr>
            </w:pPr>
            <w:r w:rsidRPr="00462D57">
              <w:rPr>
                <w:rFonts w:ascii="Verdana" w:hAnsi="Verdana"/>
              </w:rPr>
              <w:t>Service</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05D771D" w14:textId="77777777" w:rsidR="004C0FA9" w:rsidRPr="00462D57" w:rsidRDefault="004C0FA9" w:rsidP="00067795">
            <w:pPr>
              <w:contextualSpacing/>
              <w:rPr>
                <w:rFonts w:ascii="Verdana" w:hAnsi="Verdana"/>
              </w:rPr>
            </w:pPr>
            <w:r w:rsidRPr="00462D57">
              <w:rPr>
                <w:rFonts w:ascii="Verdana" w:hAnsi="Verdana"/>
              </w:rPr>
              <w:t>Early-stage exploration of a mobile application for alerting patients about their appointments while in the hospital, replacing the current call system. Initial consultation with the Community Advisory Committee Consumer Working Group has commenced.</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AF55B2" w14:textId="04A6CDE6" w:rsidR="004C0FA9" w:rsidRPr="00462D57" w:rsidRDefault="00E77637" w:rsidP="00067795">
            <w:pPr>
              <w:contextualSpacing/>
              <w:rPr>
                <w:rFonts w:ascii="Verdana" w:hAnsi="Verdana"/>
              </w:rPr>
            </w:pPr>
            <w:r w:rsidRPr="00462D57">
              <w:rPr>
                <w:rFonts w:ascii="Verdana" w:hAnsi="Verdana"/>
              </w:rPr>
              <w:t>New</w:t>
            </w:r>
          </w:p>
        </w:tc>
        <w:tc>
          <w:tcPr>
            <w:tcW w:w="63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77766B" w14:textId="77777777" w:rsidR="004C0FA9" w:rsidRPr="00462D57" w:rsidRDefault="004C0FA9" w:rsidP="00067795">
            <w:pPr>
              <w:contextualSpacing/>
              <w:rPr>
                <w:rFonts w:ascii="Verdana" w:hAnsi="Verdana"/>
              </w:rPr>
            </w:pPr>
            <w:r w:rsidRPr="00462D57">
              <w:rPr>
                <w:rFonts w:ascii="Verdana" w:hAnsi="Verdana"/>
              </w:rPr>
              <w:t>Digital appointment notification systems may create barriers for patients with lower digital literacy, limited technology access, or vision impairment. The current call system was identified as not user-friendly for patients with vision impairments. The assessment identified concerns about older patients facing barriers associated with downloading and using mobile applications.</w:t>
            </w:r>
          </w:p>
        </w:tc>
      </w:tr>
      <w:tr w:rsidR="004C0FA9" w:rsidRPr="00462D57" w14:paraId="56A6B02B" w14:textId="77777777" w:rsidTr="00654D0A">
        <w:trPr>
          <w:trHeight w:val="510"/>
        </w:trPr>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7001E25" w14:textId="253A2633" w:rsidR="004C0FA9" w:rsidRPr="00462D57" w:rsidRDefault="004D228A" w:rsidP="00067795">
            <w:pPr>
              <w:contextualSpacing/>
              <w:rPr>
                <w:rFonts w:ascii="Verdana" w:hAnsi="Verdana"/>
              </w:rPr>
            </w:pPr>
            <w:r>
              <w:rPr>
                <w:rFonts w:ascii="Verdana" w:hAnsi="Verdana"/>
              </w:rPr>
              <w:t>7</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A913540" w14:textId="77777777" w:rsidR="004C0FA9" w:rsidRPr="00462D57" w:rsidRDefault="004C0FA9" w:rsidP="00067795">
            <w:pPr>
              <w:contextualSpacing/>
              <w:rPr>
                <w:rFonts w:ascii="Verdana" w:hAnsi="Verdana"/>
              </w:rPr>
            </w:pPr>
            <w:r w:rsidRPr="00462D57">
              <w:rPr>
                <w:rFonts w:ascii="Verdana" w:hAnsi="Verdana"/>
              </w:rPr>
              <w:t>Emergency Department Seating Review</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FB4C0DA" w14:textId="77777777" w:rsidR="004C0FA9" w:rsidRPr="00462D57" w:rsidRDefault="004C0FA9" w:rsidP="00067795">
            <w:pPr>
              <w:contextualSpacing/>
              <w:rPr>
                <w:rFonts w:ascii="Verdana" w:hAnsi="Verdana"/>
              </w:rPr>
            </w:pPr>
            <w:r w:rsidRPr="00462D57">
              <w:rPr>
                <w:rFonts w:ascii="Verdana" w:hAnsi="Verdana"/>
              </w:rPr>
              <w:t>Service</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57348D" w14:textId="77777777" w:rsidR="004C0FA9" w:rsidRPr="00462D57" w:rsidRDefault="004C0FA9" w:rsidP="00067795">
            <w:pPr>
              <w:contextualSpacing/>
              <w:rPr>
                <w:rFonts w:ascii="Verdana" w:hAnsi="Verdana"/>
              </w:rPr>
            </w:pPr>
            <w:r w:rsidRPr="00462D57">
              <w:rPr>
                <w:rFonts w:ascii="Verdana" w:hAnsi="Verdana"/>
              </w:rPr>
              <w:t>Review and replacement of seating in the Emergency Department waiting area, with input from staff, volunteers, and consumers on comfort, aesthetics, and accessibility of replacement options.</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87D864" w14:textId="5F76E006" w:rsidR="004C0FA9" w:rsidRPr="00462D57" w:rsidRDefault="00E77637" w:rsidP="00067795">
            <w:pPr>
              <w:contextualSpacing/>
              <w:rPr>
                <w:rFonts w:ascii="Verdana" w:hAnsi="Verdana"/>
              </w:rPr>
            </w:pPr>
            <w:r w:rsidRPr="00462D57">
              <w:rPr>
                <w:rFonts w:ascii="Verdana" w:hAnsi="Verdana"/>
              </w:rPr>
              <w:t>Review</w:t>
            </w:r>
          </w:p>
        </w:tc>
        <w:tc>
          <w:tcPr>
            <w:tcW w:w="63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8565FE" w14:textId="77777777" w:rsidR="004C0FA9" w:rsidRPr="00462D57" w:rsidRDefault="004C0FA9" w:rsidP="00067795">
            <w:pPr>
              <w:contextualSpacing/>
              <w:rPr>
                <w:rFonts w:ascii="Verdana" w:hAnsi="Verdana"/>
              </w:rPr>
            </w:pPr>
            <w:r w:rsidRPr="00462D57">
              <w:rPr>
                <w:rFonts w:ascii="Verdana" w:hAnsi="Verdana"/>
              </w:rPr>
              <w:t>Seating in clinical waiting areas affects patients differently based on body size, mobility, age, and disability. The assessment identified the need for seating that accommodates diverse patient needs including bariatric patients, older patients with mobility challenges, and patients using mobility aids.</w:t>
            </w:r>
          </w:p>
        </w:tc>
      </w:tr>
      <w:tr w:rsidR="004C0FA9" w:rsidRPr="00462D57" w14:paraId="772DA92C" w14:textId="77777777" w:rsidTr="00654D0A">
        <w:trPr>
          <w:trHeight w:val="510"/>
        </w:trPr>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C134DE" w14:textId="61624D52" w:rsidR="004C0FA9" w:rsidRPr="00462D57" w:rsidRDefault="004D228A" w:rsidP="00067795">
            <w:pPr>
              <w:contextualSpacing/>
              <w:rPr>
                <w:rFonts w:ascii="Verdana" w:hAnsi="Verdana"/>
              </w:rPr>
            </w:pPr>
            <w:r>
              <w:rPr>
                <w:rFonts w:ascii="Verdana" w:hAnsi="Verdana"/>
              </w:rPr>
              <w:t>8</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615FAEC" w14:textId="77777777" w:rsidR="004C0FA9" w:rsidRPr="00462D57" w:rsidRDefault="004C0FA9" w:rsidP="00067795">
            <w:pPr>
              <w:contextualSpacing/>
              <w:rPr>
                <w:rFonts w:ascii="Verdana" w:hAnsi="Verdana"/>
              </w:rPr>
            </w:pPr>
            <w:r w:rsidRPr="00462D57">
              <w:rPr>
                <w:rFonts w:ascii="Verdana" w:hAnsi="Verdana"/>
              </w:rPr>
              <w:t>Developing Social Stories</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447F426" w14:textId="77777777" w:rsidR="004C0FA9" w:rsidRPr="00462D57" w:rsidRDefault="004C0FA9" w:rsidP="00067795">
            <w:pPr>
              <w:contextualSpacing/>
              <w:rPr>
                <w:rFonts w:ascii="Verdana" w:hAnsi="Verdana"/>
              </w:rPr>
            </w:pPr>
            <w:r w:rsidRPr="00462D57">
              <w:rPr>
                <w:rFonts w:ascii="Verdana" w:hAnsi="Verdana"/>
              </w:rPr>
              <w:t>Program</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6E030F" w14:textId="77777777" w:rsidR="004C0FA9" w:rsidRPr="00462D57" w:rsidRDefault="004C0FA9" w:rsidP="00067795">
            <w:pPr>
              <w:contextualSpacing/>
              <w:rPr>
                <w:rFonts w:ascii="Verdana" w:hAnsi="Verdana"/>
              </w:rPr>
            </w:pPr>
            <w:r w:rsidRPr="00462D57">
              <w:rPr>
                <w:rFonts w:ascii="Verdana" w:hAnsi="Verdana"/>
              </w:rPr>
              <w:t xml:space="preserve">Early-stage concept for creating social stories to help different patient cohorts access and navigate the hospital. Social stories use narrative and visual formats to prepare patients </w:t>
            </w:r>
            <w:r w:rsidRPr="00462D57">
              <w:rPr>
                <w:rFonts w:ascii="Verdana" w:hAnsi="Verdana"/>
              </w:rPr>
              <w:lastRenderedPageBreak/>
              <w:t>for healthcare experiences, reducing anxiety and improving engagement.</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784B90" w14:textId="77777777" w:rsidR="004C0FA9" w:rsidRPr="00462D57" w:rsidRDefault="004C0FA9" w:rsidP="00067795">
            <w:pPr>
              <w:contextualSpacing/>
              <w:rPr>
                <w:rFonts w:ascii="Verdana" w:hAnsi="Verdana"/>
              </w:rPr>
            </w:pPr>
            <w:r w:rsidRPr="00462D57">
              <w:rPr>
                <w:rFonts w:ascii="Verdana" w:hAnsi="Verdana"/>
              </w:rPr>
              <w:lastRenderedPageBreak/>
              <w:t>In progress</w:t>
            </w:r>
          </w:p>
        </w:tc>
        <w:tc>
          <w:tcPr>
            <w:tcW w:w="63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BF7A97B" w14:textId="77777777" w:rsidR="004C0FA9" w:rsidRPr="00462D57" w:rsidRDefault="004C0FA9" w:rsidP="00067795">
            <w:pPr>
              <w:contextualSpacing/>
              <w:rPr>
                <w:rFonts w:ascii="Verdana" w:hAnsi="Verdana"/>
              </w:rPr>
            </w:pPr>
            <w:r w:rsidRPr="00462D57">
              <w:rPr>
                <w:rFonts w:ascii="Verdana" w:hAnsi="Verdana"/>
              </w:rPr>
              <w:t>Hospital navigation and healthcare access are affected by gender intersecting with cultural background, language proficiency, disability, and age. Social stories can be adapted to address specific barriers faced by different patient groups.</w:t>
            </w:r>
          </w:p>
        </w:tc>
      </w:tr>
      <w:tr w:rsidR="004C0FA9" w:rsidRPr="00462D57" w14:paraId="70AE95DB" w14:textId="77777777" w:rsidTr="00654D0A">
        <w:trPr>
          <w:trHeight w:val="510"/>
        </w:trPr>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DC006DB" w14:textId="47DFF858" w:rsidR="004C0FA9" w:rsidRPr="00462D57" w:rsidRDefault="004D228A" w:rsidP="00067795">
            <w:pPr>
              <w:contextualSpacing/>
              <w:rPr>
                <w:rFonts w:ascii="Verdana" w:hAnsi="Verdana"/>
              </w:rPr>
            </w:pPr>
            <w:r>
              <w:rPr>
                <w:rFonts w:ascii="Verdana" w:hAnsi="Verdana"/>
              </w:rPr>
              <w:t>9</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D3BB6D" w14:textId="77777777" w:rsidR="004C0FA9" w:rsidRPr="00462D57" w:rsidRDefault="004C0FA9" w:rsidP="00067795">
            <w:pPr>
              <w:contextualSpacing/>
              <w:rPr>
                <w:rFonts w:ascii="Verdana" w:hAnsi="Verdana"/>
              </w:rPr>
            </w:pPr>
            <w:r w:rsidRPr="00462D57">
              <w:rPr>
                <w:rFonts w:ascii="Verdana" w:hAnsi="Verdana"/>
              </w:rPr>
              <w:t>Forget-Me-Not Flower Tool</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CA2374" w14:textId="77777777" w:rsidR="004C0FA9" w:rsidRPr="00462D57" w:rsidRDefault="004C0FA9" w:rsidP="00067795">
            <w:pPr>
              <w:contextualSpacing/>
              <w:rPr>
                <w:rFonts w:ascii="Verdana" w:hAnsi="Verdana"/>
              </w:rPr>
            </w:pPr>
            <w:r w:rsidRPr="00462D57">
              <w:rPr>
                <w:rFonts w:ascii="Verdana" w:hAnsi="Verdana"/>
              </w:rPr>
              <w:t>Service</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0BF17B2" w14:textId="77777777" w:rsidR="004C0FA9" w:rsidRPr="00462D57" w:rsidRDefault="004C0FA9" w:rsidP="00067795">
            <w:pPr>
              <w:contextualSpacing/>
              <w:rPr>
                <w:rFonts w:ascii="Verdana" w:hAnsi="Verdana"/>
              </w:rPr>
            </w:pPr>
            <w:r w:rsidRPr="00462D57">
              <w:rPr>
                <w:rFonts w:ascii="Verdana" w:hAnsi="Verdana"/>
              </w:rPr>
              <w:t>Potential adoption of the Forget-Me-Not flower tool to support patients with delirium and dementia. The tool captures key personal information (hobbies, preferences) to help staff build rapport with patients and provide person-centred care during their stay.</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DFCD97C" w14:textId="4CC60799" w:rsidR="004C0FA9" w:rsidRPr="00462D57" w:rsidRDefault="00E77637" w:rsidP="00067795">
            <w:pPr>
              <w:contextualSpacing/>
              <w:rPr>
                <w:rFonts w:ascii="Verdana" w:hAnsi="Verdana"/>
              </w:rPr>
            </w:pPr>
            <w:r w:rsidRPr="00462D57">
              <w:rPr>
                <w:rFonts w:ascii="Verdana" w:hAnsi="Verdana"/>
              </w:rPr>
              <w:t>New</w:t>
            </w:r>
          </w:p>
        </w:tc>
        <w:tc>
          <w:tcPr>
            <w:tcW w:w="63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830515F" w14:textId="18A8CB62" w:rsidR="004C0FA9" w:rsidRPr="00462D57" w:rsidRDefault="004C0FA9" w:rsidP="00067795">
            <w:pPr>
              <w:contextualSpacing/>
              <w:rPr>
                <w:rFonts w:ascii="Verdana" w:hAnsi="Verdana"/>
              </w:rPr>
            </w:pPr>
            <w:r w:rsidRPr="00462D57">
              <w:rPr>
                <w:rFonts w:ascii="Verdana" w:hAnsi="Verdana"/>
              </w:rPr>
              <w:t xml:space="preserve">Patients with delirium and dementia are disproportionately older and may experience the intersection of gender with cognitive impairment and age. The tool aims to support personalised care that </w:t>
            </w:r>
            <w:proofErr w:type="gramStart"/>
            <w:r w:rsidR="00F17019">
              <w:rPr>
                <w:rFonts w:ascii="Verdana" w:hAnsi="Verdana"/>
              </w:rPr>
              <w:t>respects</w:t>
            </w:r>
            <w:proofErr w:type="gramEnd"/>
            <w:r w:rsidRPr="00462D57">
              <w:rPr>
                <w:rFonts w:ascii="Verdana" w:hAnsi="Verdana"/>
              </w:rPr>
              <w:t xml:space="preserve"> individual identity and preferences. The Patient Experience Committee discussed whether the tool should be used for all patients to promote equity and inclusion, while recognising its particular significance for patients with delirium and dementia.</w:t>
            </w:r>
          </w:p>
        </w:tc>
      </w:tr>
      <w:tr w:rsidR="004C0FA9" w:rsidRPr="00462D57" w14:paraId="3B1A2C61" w14:textId="77777777" w:rsidTr="00654D0A">
        <w:trPr>
          <w:trHeight w:val="510"/>
        </w:trPr>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4B7E592" w14:textId="19EBE7FB" w:rsidR="004C0FA9" w:rsidRPr="00462D57" w:rsidRDefault="004D228A" w:rsidP="00067795">
            <w:pPr>
              <w:contextualSpacing/>
              <w:rPr>
                <w:rFonts w:ascii="Verdana" w:hAnsi="Verdana"/>
              </w:rPr>
            </w:pPr>
            <w:r w:rsidRPr="00462D57">
              <w:rPr>
                <w:rFonts w:ascii="Verdana" w:hAnsi="Verdana"/>
              </w:rPr>
              <w:t>1</w:t>
            </w:r>
            <w:r>
              <w:rPr>
                <w:rFonts w:ascii="Verdana" w:hAnsi="Verdana"/>
              </w:rPr>
              <w:t>0</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DEF0B59" w14:textId="77777777" w:rsidR="004C0FA9" w:rsidRPr="00462D57" w:rsidRDefault="004C0FA9" w:rsidP="00067795">
            <w:pPr>
              <w:contextualSpacing/>
              <w:rPr>
                <w:rFonts w:ascii="Verdana" w:hAnsi="Verdana"/>
              </w:rPr>
            </w:pPr>
            <w:proofErr w:type="spellStart"/>
            <w:r w:rsidRPr="00462D57">
              <w:rPr>
                <w:rFonts w:ascii="Verdana" w:hAnsi="Verdana"/>
              </w:rPr>
              <w:t>Sugamadex</w:t>
            </w:r>
            <w:proofErr w:type="spellEnd"/>
            <w:r w:rsidRPr="00462D57">
              <w:rPr>
                <w:rFonts w:ascii="Verdana" w:hAnsi="Verdana"/>
              </w:rPr>
              <w:t xml:space="preserve"> Medication Information Leaflet</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93322B" w14:textId="77777777" w:rsidR="004C0FA9" w:rsidRPr="00462D57" w:rsidRDefault="004C0FA9" w:rsidP="00067795">
            <w:pPr>
              <w:contextualSpacing/>
              <w:rPr>
                <w:rFonts w:ascii="Verdana" w:hAnsi="Verdana"/>
              </w:rPr>
            </w:pPr>
            <w:r w:rsidRPr="00462D57">
              <w:rPr>
                <w:rFonts w:ascii="Verdana" w:hAnsi="Verdana"/>
              </w:rPr>
              <w:t>Service</w:t>
            </w:r>
          </w:p>
        </w:tc>
        <w:tc>
          <w:tcPr>
            <w:tcW w:w="4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F8777C" w14:textId="77777777" w:rsidR="004C0FA9" w:rsidRPr="00462D57" w:rsidRDefault="004C0FA9" w:rsidP="00067795">
            <w:pPr>
              <w:contextualSpacing/>
              <w:rPr>
                <w:rFonts w:ascii="Verdana" w:hAnsi="Verdana"/>
              </w:rPr>
            </w:pPr>
            <w:r w:rsidRPr="00462D57">
              <w:rPr>
                <w:rFonts w:ascii="Verdana" w:hAnsi="Verdana"/>
              </w:rPr>
              <w:t xml:space="preserve">Development of a patient information leaflet about the potential interaction between </w:t>
            </w:r>
            <w:proofErr w:type="spellStart"/>
            <w:r w:rsidRPr="00462D57">
              <w:rPr>
                <w:rFonts w:ascii="Verdana" w:hAnsi="Verdana"/>
              </w:rPr>
              <w:t>sugamadex</w:t>
            </w:r>
            <w:proofErr w:type="spellEnd"/>
            <w:r w:rsidRPr="00462D57">
              <w:rPr>
                <w:rFonts w:ascii="Verdana" w:hAnsi="Verdana"/>
              </w:rPr>
              <w:t xml:space="preserve"> administration and progesterone-based medicines, advising patients of management strategies to mitigate potential impacts to their treatment.</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0C9E0C" w14:textId="1710990A" w:rsidR="004C0FA9" w:rsidRPr="00462D57" w:rsidRDefault="00E77637" w:rsidP="00067795">
            <w:pPr>
              <w:contextualSpacing/>
              <w:rPr>
                <w:rFonts w:ascii="Verdana" w:hAnsi="Verdana"/>
              </w:rPr>
            </w:pPr>
            <w:r w:rsidRPr="00462D57">
              <w:rPr>
                <w:rFonts w:ascii="Verdana" w:hAnsi="Verdana"/>
              </w:rPr>
              <w:t>New</w:t>
            </w:r>
          </w:p>
        </w:tc>
        <w:tc>
          <w:tcPr>
            <w:tcW w:w="63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180F92" w14:textId="77777777" w:rsidR="004C0FA9" w:rsidRPr="00462D57" w:rsidRDefault="004C0FA9" w:rsidP="00067795">
            <w:pPr>
              <w:contextualSpacing/>
              <w:rPr>
                <w:rFonts w:ascii="Verdana" w:hAnsi="Verdana"/>
              </w:rPr>
            </w:pPr>
            <w:r w:rsidRPr="00462D57">
              <w:rPr>
                <w:rFonts w:ascii="Verdana" w:hAnsi="Verdana"/>
              </w:rPr>
              <w:t xml:space="preserve">The medication interaction between </w:t>
            </w:r>
            <w:proofErr w:type="spellStart"/>
            <w:r w:rsidRPr="00462D57">
              <w:rPr>
                <w:rFonts w:ascii="Verdana" w:hAnsi="Verdana"/>
              </w:rPr>
              <w:t>sugamadex</w:t>
            </w:r>
            <w:proofErr w:type="spellEnd"/>
            <w:r w:rsidRPr="00462D57">
              <w:rPr>
                <w:rFonts w:ascii="Verdana" w:hAnsi="Verdana"/>
              </w:rPr>
              <w:t xml:space="preserve"> and progesterone-based medicines has direct gendered impacts, primarily affecting patients using hormonal contraception or hormone replacement therapy. The assessment recognised that this also affects gender diverse individuals using progesterone-based hormone therapy, younger patients, and patients from diverse cultural and faith backgrounds where discussion of reproductive health and contraception carries additional sensitivities.</w:t>
            </w:r>
          </w:p>
        </w:tc>
      </w:tr>
    </w:tbl>
    <w:p w14:paraId="762564FE" w14:textId="3D636A90" w:rsidR="004C0FA9" w:rsidRPr="002112CD" w:rsidRDefault="004C0FA9" w:rsidP="00067795">
      <w:pPr>
        <w:contextualSpacing/>
        <w:rPr>
          <w:rFonts w:ascii="Verdana" w:hAnsi="Verdana"/>
        </w:rPr>
      </w:pPr>
    </w:p>
    <w:p w14:paraId="118C7E1E" w14:textId="77777777" w:rsidR="00654D0A" w:rsidRPr="002112CD" w:rsidRDefault="00654D0A" w:rsidP="00067795">
      <w:pPr>
        <w:contextualSpacing/>
        <w:rPr>
          <w:rFonts w:ascii="Verdana" w:hAnsi="Verdana"/>
        </w:rPr>
      </w:pPr>
    </w:p>
    <w:p w14:paraId="7F2F9726" w14:textId="77777777" w:rsidR="00654D0A" w:rsidRPr="002112CD" w:rsidRDefault="00654D0A" w:rsidP="00067795">
      <w:pPr>
        <w:contextualSpacing/>
        <w:rPr>
          <w:rFonts w:ascii="Verdana" w:hAnsi="Verdana"/>
        </w:rPr>
      </w:pPr>
    </w:p>
    <w:p w14:paraId="5DF164EC" w14:textId="77777777" w:rsidR="00654D0A" w:rsidRPr="002112CD" w:rsidRDefault="00654D0A" w:rsidP="00067795">
      <w:pPr>
        <w:contextualSpacing/>
        <w:rPr>
          <w:rFonts w:ascii="Verdana" w:hAnsi="Verdana"/>
        </w:rPr>
      </w:pPr>
    </w:p>
    <w:p w14:paraId="3B236171" w14:textId="77777777" w:rsidR="00654D0A" w:rsidRPr="002112CD" w:rsidRDefault="00654D0A" w:rsidP="00067795">
      <w:pPr>
        <w:contextualSpacing/>
        <w:rPr>
          <w:rFonts w:ascii="Verdana" w:hAnsi="Verdana"/>
        </w:rPr>
      </w:pPr>
    </w:p>
    <w:p w14:paraId="4E2BA0F4" w14:textId="77777777" w:rsidR="00654D0A" w:rsidRPr="002112CD" w:rsidRDefault="00654D0A" w:rsidP="00067795">
      <w:pPr>
        <w:contextualSpacing/>
        <w:rPr>
          <w:rFonts w:ascii="Verdana" w:hAnsi="Verdana"/>
        </w:rPr>
      </w:pPr>
    </w:p>
    <w:p w14:paraId="4A73DCB9" w14:textId="77777777" w:rsidR="00654D0A" w:rsidRPr="002112CD" w:rsidRDefault="00654D0A" w:rsidP="00067795">
      <w:pPr>
        <w:contextualSpacing/>
        <w:rPr>
          <w:rFonts w:ascii="Verdana" w:hAnsi="Verdana"/>
        </w:rPr>
      </w:pPr>
    </w:p>
    <w:p w14:paraId="1F7512E1" w14:textId="77777777" w:rsidR="00654D0A" w:rsidRPr="002112CD" w:rsidRDefault="00654D0A" w:rsidP="00067795">
      <w:pPr>
        <w:contextualSpacing/>
        <w:rPr>
          <w:rFonts w:ascii="Verdana" w:hAnsi="Verdana"/>
        </w:rPr>
      </w:pPr>
    </w:p>
    <w:p w14:paraId="1D437427" w14:textId="77777777" w:rsidR="00D209AC" w:rsidRDefault="00D209AC">
      <w:pPr>
        <w:rPr>
          <w:rFonts w:ascii="Verdana" w:hAnsi="Verdana"/>
          <w:b/>
          <w:bCs/>
          <w:color w:val="2E75B6"/>
          <w:sz w:val="22"/>
          <w:szCs w:val="26"/>
        </w:rPr>
      </w:pPr>
      <w:r>
        <w:rPr>
          <w:rFonts w:ascii="Verdana" w:hAnsi="Verdana"/>
        </w:rPr>
        <w:br w:type="page"/>
      </w:r>
    </w:p>
    <w:p w14:paraId="13A069B9" w14:textId="32F5DD9C" w:rsidR="004C0FA9" w:rsidRPr="002112CD" w:rsidRDefault="004C0FA9" w:rsidP="00067795">
      <w:pPr>
        <w:pStyle w:val="Heading2"/>
        <w:spacing w:before="0" w:after="0"/>
        <w:contextualSpacing/>
        <w:rPr>
          <w:rFonts w:ascii="Verdana" w:hAnsi="Verdana"/>
        </w:rPr>
      </w:pPr>
      <w:r w:rsidRPr="002112CD">
        <w:rPr>
          <w:rFonts w:ascii="Verdana" w:hAnsi="Verdana"/>
        </w:rPr>
        <w:lastRenderedPageBreak/>
        <w:t>Section 1.3: Describing Actions Taken as a Result of a GIA</w:t>
      </w:r>
    </w:p>
    <w:tbl>
      <w:tblPr>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8"/>
        <w:gridCol w:w="1031"/>
        <w:gridCol w:w="4039"/>
        <w:gridCol w:w="1024"/>
        <w:gridCol w:w="4077"/>
        <w:gridCol w:w="4069"/>
      </w:tblGrid>
      <w:tr w:rsidR="004C0FA9" w:rsidRPr="00E020FF" w14:paraId="3D781A30" w14:textId="77777777" w:rsidTr="00CE470A">
        <w:trPr>
          <w:trHeight w:val="874"/>
          <w:tblHeader/>
        </w:trPr>
        <w:tc>
          <w:tcPr>
            <w:tcW w:w="598"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0C04A505" w14:textId="77777777" w:rsidR="004C0FA9" w:rsidRPr="00E020FF" w:rsidRDefault="004C0FA9" w:rsidP="00067795">
            <w:pPr>
              <w:contextualSpacing/>
              <w:rPr>
                <w:rFonts w:ascii="Verdana" w:hAnsi="Verdana"/>
              </w:rPr>
            </w:pPr>
            <w:r w:rsidRPr="00E020FF">
              <w:rPr>
                <w:rFonts w:ascii="Verdana" w:hAnsi="Verdana"/>
                <w:b/>
                <w:bCs/>
              </w:rPr>
              <w:t>Ref #</w:t>
            </w:r>
          </w:p>
        </w:tc>
        <w:tc>
          <w:tcPr>
            <w:tcW w:w="1031"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293B56E2" w14:textId="77777777" w:rsidR="004C0FA9" w:rsidRPr="00E020FF" w:rsidRDefault="004C0FA9" w:rsidP="00067795">
            <w:pPr>
              <w:contextualSpacing/>
              <w:rPr>
                <w:rFonts w:ascii="Verdana" w:hAnsi="Verdana"/>
              </w:rPr>
            </w:pPr>
            <w:r w:rsidRPr="00E020FF">
              <w:rPr>
                <w:rFonts w:ascii="Verdana" w:hAnsi="Verdana"/>
                <w:b/>
                <w:bCs/>
              </w:rPr>
              <w:t>F: Actions Taken?</w:t>
            </w:r>
          </w:p>
        </w:tc>
        <w:tc>
          <w:tcPr>
            <w:tcW w:w="4039"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6480DA11" w14:textId="77777777" w:rsidR="004C0FA9" w:rsidRPr="00E020FF" w:rsidRDefault="004C0FA9" w:rsidP="00067795">
            <w:pPr>
              <w:contextualSpacing/>
              <w:rPr>
                <w:rFonts w:ascii="Verdana" w:hAnsi="Verdana"/>
              </w:rPr>
            </w:pPr>
            <w:r w:rsidRPr="00E020FF">
              <w:rPr>
                <w:rFonts w:ascii="Verdana" w:hAnsi="Verdana"/>
                <w:b/>
                <w:bCs/>
              </w:rPr>
              <w:t>G: Actions Description</w:t>
            </w:r>
          </w:p>
        </w:tc>
        <w:tc>
          <w:tcPr>
            <w:tcW w:w="1024"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3E3AA055" w14:textId="77777777" w:rsidR="004C0FA9" w:rsidRPr="00E020FF" w:rsidRDefault="004C0FA9" w:rsidP="00067795">
            <w:pPr>
              <w:contextualSpacing/>
              <w:rPr>
                <w:rFonts w:ascii="Verdana" w:hAnsi="Verdana"/>
              </w:rPr>
            </w:pPr>
            <w:r w:rsidRPr="00E020FF">
              <w:rPr>
                <w:rFonts w:ascii="Verdana" w:hAnsi="Verdana"/>
                <w:b/>
                <w:bCs/>
              </w:rPr>
              <w:t>H: If No Action, Explain</w:t>
            </w:r>
          </w:p>
        </w:tc>
        <w:tc>
          <w:tcPr>
            <w:tcW w:w="4077"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6A25B4C4" w14:textId="77777777" w:rsidR="004C0FA9" w:rsidRPr="00E020FF" w:rsidRDefault="004C0FA9" w:rsidP="00067795">
            <w:pPr>
              <w:contextualSpacing/>
              <w:rPr>
                <w:rFonts w:ascii="Verdana" w:hAnsi="Verdana"/>
              </w:rPr>
            </w:pPr>
            <w:r w:rsidRPr="00E020FF">
              <w:rPr>
                <w:rFonts w:ascii="Verdana" w:hAnsi="Verdana"/>
                <w:b/>
                <w:bCs/>
              </w:rPr>
              <w:t>I: Intersectionality Considered</w:t>
            </w:r>
          </w:p>
        </w:tc>
        <w:tc>
          <w:tcPr>
            <w:tcW w:w="4069"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4394C5E1" w14:textId="77777777" w:rsidR="004C0FA9" w:rsidRPr="00E020FF" w:rsidRDefault="004C0FA9" w:rsidP="00067795">
            <w:pPr>
              <w:contextualSpacing/>
              <w:rPr>
                <w:rFonts w:ascii="Verdana" w:hAnsi="Verdana"/>
              </w:rPr>
            </w:pPr>
            <w:r w:rsidRPr="00E020FF">
              <w:rPr>
                <w:rFonts w:ascii="Verdana" w:hAnsi="Verdana"/>
                <w:b/>
                <w:bCs/>
              </w:rPr>
              <w:t>J: Intersectional Inequality Actions</w:t>
            </w:r>
          </w:p>
        </w:tc>
      </w:tr>
      <w:tr w:rsidR="004C0FA9" w:rsidRPr="00E020FF" w14:paraId="1E9B0829" w14:textId="77777777" w:rsidTr="00CE470A">
        <w:trPr>
          <w:trHeight w:val="2041"/>
        </w:trPr>
        <w:tc>
          <w:tcPr>
            <w:tcW w:w="5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9167EC" w14:textId="77777777" w:rsidR="004C0FA9" w:rsidRPr="00E020FF" w:rsidRDefault="004C0FA9" w:rsidP="00067795">
            <w:pPr>
              <w:contextualSpacing/>
              <w:rPr>
                <w:rFonts w:ascii="Verdana" w:hAnsi="Verdana"/>
              </w:rPr>
            </w:pPr>
            <w:r w:rsidRPr="00E020FF">
              <w:rPr>
                <w:rFonts w:ascii="Verdana" w:hAnsi="Verdana"/>
              </w:rPr>
              <w:t>1</w:t>
            </w:r>
          </w:p>
        </w:tc>
        <w:tc>
          <w:tcPr>
            <w:tcW w:w="103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C4CA353" w14:textId="77777777" w:rsidR="004C0FA9" w:rsidRPr="00E020FF" w:rsidRDefault="004C0FA9" w:rsidP="00067795">
            <w:pPr>
              <w:contextualSpacing/>
              <w:rPr>
                <w:rFonts w:ascii="Verdana" w:hAnsi="Verdana"/>
              </w:rPr>
            </w:pPr>
            <w:r w:rsidRPr="00E020FF">
              <w:rPr>
                <w:rFonts w:ascii="Verdana" w:hAnsi="Verdana"/>
              </w:rPr>
              <w:t>Yes</w:t>
            </w:r>
          </w:p>
        </w:tc>
        <w:tc>
          <w:tcPr>
            <w:tcW w:w="403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32271C7" w14:textId="3EEDA94B" w:rsidR="004C0FA9" w:rsidRPr="00E020FF" w:rsidRDefault="004C0FA9" w:rsidP="00067795">
            <w:pPr>
              <w:contextualSpacing/>
              <w:rPr>
                <w:rFonts w:ascii="Verdana" w:hAnsi="Verdana"/>
              </w:rPr>
            </w:pPr>
            <w:r w:rsidRPr="00E020FF">
              <w:rPr>
                <w:rFonts w:ascii="Verdana" w:hAnsi="Verdana"/>
              </w:rPr>
              <w:t>Alternative access options maintained including phone calls with nurses and paper-based forms. Interpreter services provided for patients requiring them. Consumer liaison and consumer group representatives from diverse genders and cultural backgrounds consulted to ensure culturally appropriate and accessible materials. Questionnaire reviewed and revised to capture gender-specific symptoms, experiences, and health needs related to</w:t>
            </w:r>
            <w:r w:rsidR="006A5AC4">
              <w:rPr>
                <w:rFonts w:ascii="Verdana" w:hAnsi="Verdana"/>
              </w:rPr>
              <w:t xml:space="preserve"> the</w:t>
            </w:r>
            <w:r w:rsidRPr="00E020FF">
              <w:rPr>
                <w:rFonts w:ascii="Verdana" w:hAnsi="Verdana"/>
              </w:rPr>
              <w:t xml:space="preserve"> Eye and Ear conditions and post-operative recovery, with input from clinicians specialising in gender-specific health.</w:t>
            </w:r>
          </w:p>
        </w:tc>
        <w:tc>
          <w:tcPr>
            <w:tcW w:w="10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B73DC33" w14:textId="77777777" w:rsidR="004C0FA9" w:rsidRPr="00E020FF" w:rsidRDefault="004C0FA9" w:rsidP="00067795">
            <w:pPr>
              <w:contextualSpacing/>
              <w:rPr>
                <w:rFonts w:ascii="Verdana" w:hAnsi="Verdana"/>
              </w:rPr>
            </w:pPr>
            <w:r w:rsidRPr="00E020FF">
              <w:rPr>
                <w:rFonts w:ascii="Verdana" w:hAnsi="Verdana"/>
              </w:rPr>
              <w:t>N/A</w:t>
            </w:r>
          </w:p>
        </w:tc>
        <w:tc>
          <w:tcPr>
            <w:tcW w:w="407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D3627F" w14:textId="42E2CDAA" w:rsidR="004C0FA9" w:rsidRPr="00E020FF" w:rsidRDefault="004C0FA9" w:rsidP="00067795">
            <w:pPr>
              <w:contextualSpacing/>
              <w:rPr>
                <w:rFonts w:ascii="Verdana" w:hAnsi="Verdana"/>
              </w:rPr>
            </w:pPr>
            <w:r w:rsidRPr="00E020FF">
              <w:rPr>
                <w:rFonts w:ascii="Verdana" w:hAnsi="Verdana"/>
              </w:rPr>
              <w:t xml:space="preserve">An intersectional lens was applied by acknowledging that gender intersects with other identity dimensions to create unique experiences of inequality. The assessment identified specific intersectional </w:t>
            </w:r>
            <w:r w:rsidR="00B63C69">
              <w:rPr>
                <w:rFonts w:ascii="Verdana" w:hAnsi="Verdana"/>
              </w:rPr>
              <w:t xml:space="preserve">risks </w:t>
            </w:r>
            <w:r w:rsidRPr="00E020FF">
              <w:rPr>
                <w:rFonts w:ascii="Verdana" w:hAnsi="Verdana"/>
              </w:rPr>
              <w:t xml:space="preserve">for First </w:t>
            </w:r>
            <w:r w:rsidR="00267AB6">
              <w:rPr>
                <w:rFonts w:ascii="Verdana" w:hAnsi="Verdana"/>
              </w:rPr>
              <w:t xml:space="preserve">Nations </w:t>
            </w:r>
            <w:r w:rsidRPr="00E020FF">
              <w:rPr>
                <w:rFonts w:ascii="Verdana" w:hAnsi="Verdana"/>
              </w:rPr>
              <w:t>People (systemic racism and historical trauma compounding health disparities), older adults (ageism combined with gender stereotypes creating technology access barriers), people with disabilities (distinct access, communication, and healthcare challenges), culturally and linguistically diverse communities (language barriers and cultural differences compounding marginalisation), gender diverse individuals (gender identity shaping health needs and requiring inclusive language), and individuals from lower socioeconomic backgrounds (poverty limiting technology and healthcare access with disproportionate effects on women and gender diverse individuals).</w:t>
            </w:r>
          </w:p>
        </w:tc>
        <w:tc>
          <w:tcPr>
            <w:tcW w:w="406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769766" w14:textId="4C7693AD" w:rsidR="004C0FA9" w:rsidRPr="00E020FF" w:rsidRDefault="006A5AC4" w:rsidP="00067795">
            <w:pPr>
              <w:contextualSpacing/>
              <w:rPr>
                <w:rFonts w:ascii="Verdana" w:hAnsi="Verdana"/>
              </w:rPr>
            </w:pPr>
            <w:r>
              <w:rPr>
                <w:rFonts w:ascii="Verdana" w:hAnsi="Verdana"/>
              </w:rPr>
              <w:t xml:space="preserve">The </w:t>
            </w:r>
            <w:r w:rsidR="00A317F1" w:rsidRPr="00E020FF">
              <w:rPr>
                <w:rFonts w:ascii="Verdana" w:hAnsi="Verdana"/>
              </w:rPr>
              <w:t>Eye and Ear plans to collect detailed patient demographic data (gender, age, ethnicity, disability status, language spoken at home) to analyse potential disparities. Consultation with community organisations representing diverse populations to ensure the system meets all patients’ needs. Personalised resources and assistance based on individual patient needs. Promotion of culturally safe environments respecting diverse identities and experiences.</w:t>
            </w:r>
          </w:p>
        </w:tc>
      </w:tr>
      <w:tr w:rsidR="004C0FA9" w:rsidRPr="00E020FF" w14:paraId="7BE436CD" w14:textId="77777777" w:rsidTr="00CE470A">
        <w:trPr>
          <w:trHeight w:val="2041"/>
        </w:trPr>
        <w:tc>
          <w:tcPr>
            <w:tcW w:w="5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C94DA25" w14:textId="77777777" w:rsidR="004C0FA9" w:rsidRPr="00E020FF" w:rsidRDefault="004C0FA9" w:rsidP="00067795">
            <w:pPr>
              <w:contextualSpacing/>
              <w:rPr>
                <w:rFonts w:ascii="Verdana" w:hAnsi="Verdana"/>
              </w:rPr>
            </w:pPr>
            <w:r w:rsidRPr="00E020FF">
              <w:rPr>
                <w:rFonts w:ascii="Verdana" w:hAnsi="Verdana"/>
              </w:rPr>
              <w:t>2</w:t>
            </w:r>
          </w:p>
        </w:tc>
        <w:tc>
          <w:tcPr>
            <w:tcW w:w="103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581A1B2" w14:textId="77777777" w:rsidR="004C0FA9" w:rsidRPr="00E020FF" w:rsidRDefault="004C0FA9" w:rsidP="00067795">
            <w:pPr>
              <w:contextualSpacing/>
              <w:rPr>
                <w:rFonts w:ascii="Verdana" w:hAnsi="Verdana"/>
              </w:rPr>
            </w:pPr>
            <w:r w:rsidRPr="00E020FF">
              <w:rPr>
                <w:rFonts w:ascii="Verdana" w:hAnsi="Verdana"/>
              </w:rPr>
              <w:t>Yes</w:t>
            </w:r>
          </w:p>
        </w:tc>
        <w:tc>
          <w:tcPr>
            <w:tcW w:w="403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2504DA" w14:textId="77777777" w:rsidR="004C0FA9" w:rsidRPr="00E020FF" w:rsidRDefault="004C0FA9" w:rsidP="00067795">
            <w:pPr>
              <w:contextualSpacing/>
              <w:rPr>
                <w:rFonts w:ascii="Verdana" w:hAnsi="Verdana"/>
              </w:rPr>
            </w:pPr>
            <w:r w:rsidRPr="00E020FF">
              <w:rPr>
                <w:rFonts w:ascii="Verdana" w:hAnsi="Verdana"/>
              </w:rPr>
              <w:t xml:space="preserve">Worked with volunteers to identify common pain points for patients seeking wayfinding assistance. Vision impaired consumers engaged in co-design of the project. Interpreters and patients from culturally and linguistically diverse backgrounds consulted, highlighting the need for </w:t>
            </w:r>
            <w:r w:rsidRPr="00E020FF">
              <w:rPr>
                <w:rFonts w:ascii="Verdana" w:hAnsi="Verdana"/>
              </w:rPr>
              <w:lastRenderedPageBreak/>
              <w:t>universal iconography and clear, simple signage. International best practice guidelines adopted for toilet signage for vision impaired, culturally diverse, and gender diverse individuals, with primary emphasis on vision impaired patients’ ability to navigate independently, followed by accessibility for culturally diverse patients. A follow-up survey will be circulated after installation to assess effectiveness.</w:t>
            </w:r>
          </w:p>
        </w:tc>
        <w:tc>
          <w:tcPr>
            <w:tcW w:w="10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37FB35" w14:textId="77777777" w:rsidR="004C0FA9" w:rsidRPr="00E020FF" w:rsidRDefault="004C0FA9" w:rsidP="00067795">
            <w:pPr>
              <w:contextualSpacing/>
              <w:rPr>
                <w:rFonts w:ascii="Verdana" w:hAnsi="Verdana"/>
              </w:rPr>
            </w:pPr>
            <w:r w:rsidRPr="00E020FF">
              <w:rPr>
                <w:rFonts w:ascii="Verdana" w:hAnsi="Verdana"/>
              </w:rPr>
              <w:lastRenderedPageBreak/>
              <w:t>N/A</w:t>
            </w:r>
          </w:p>
        </w:tc>
        <w:tc>
          <w:tcPr>
            <w:tcW w:w="407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AACFC30" w14:textId="7334E5EB" w:rsidR="004C0FA9" w:rsidRPr="00E020FF" w:rsidRDefault="004C0FA9" w:rsidP="00067795">
            <w:pPr>
              <w:contextualSpacing/>
              <w:rPr>
                <w:rFonts w:ascii="Verdana" w:hAnsi="Verdana"/>
              </w:rPr>
            </w:pPr>
            <w:r w:rsidRPr="00E020FF">
              <w:rPr>
                <w:rFonts w:ascii="Verdana" w:hAnsi="Verdana"/>
              </w:rPr>
              <w:t xml:space="preserve">An intersectional lens was applied by acknowledging that gender intersects with other identity dimensions. The assessment identified </w:t>
            </w:r>
            <w:r w:rsidR="00FD555B">
              <w:rPr>
                <w:rFonts w:ascii="Verdana" w:hAnsi="Verdana"/>
              </w:rPr>
              <w:t xml:space="preserve">risks </w:t>
            </w:r>
            <w:r w:rsidRPr="00E020FF">
              <w:rPr>
                <w:rFonts w:ascii="Verdana" w:hAnsi="Verdana"/>
              </w:rPr>
              <w:t xml:space="preserve">for older adults (ageism combined with gender stereotypes affecting sign placement and design), people with disabilities (particularly vision impairment and </w:t>
            </w:r>
            <w:r w:rsidRPr="00E020FF">
              <w:rPr>
                <w:rFonts w:ascii="Verdana" w:hAnsi="Verdana"/>
              </w:rPr>
              <w:lastRenderedPageBreak/>
              <w:t>wheelchair users affecting sign positioning and size), culturally and linguistically diverse communities (language barriers and cultural differences requiring universal iconography), and gender diverse individuals (gender identity shaping wayfinding needs, particularly for toilet signage).</w:t>
            </w:r>
          </w:p>
        </w:tc>
        <w:tc>
          <w:tcPr>
            <w:tcW w:w="406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953B8C5" w14:textId="77777777" w:rsidR="004C0FA9" w:rsidRPr="00E020FF" w:rsidRDefault="004C0FA9" w:rsidP="00067795">
            <w:pPr>
              <w:contextualSpacing/>
              <w:rPr>
                <w:rFonts w:ascii="Verdana" w:hAnsi="Verdana"/>
              </w:rPr>
            </w:pPr>
            <w:r w:rsidRPr="00E020FF">
              <w:rPr>
                <w:rFonts w:ascii="Verdana" w:hAnsi="Verdana"/>
              </w:rPr>
              <w:lastRenderedPageBreak/>
              <w:t>Co-design with vision impaired consumers. Consultation with interpreters and culturally diverse patients. International best practice toilet signage guidelines addressing vision impairment, cultural diversity, and gender diversity simultaneously.</w:t>
            </w:r>
          </w:p>
        </w:tc>
      </w:tr>
      <w:tr w:rsidR="004C0FA9" w:rsidRPr="00E020FF" w14:paraId="683E9A83" w14:textId="77777777" w:rsidTr="00CE470A">
        <w:trPr>
          <w:trHeight w:val="2041"/>
        </w:trPr>
        <w:tc>
          <w:tcPr>
            <w:tcW w:w="5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D17637C" w14:textId="77777777" w:rsidR="004C0FA9" w:rsidRPr="00E020FF" w:rsidRDefault="004C0FA9" w:rsidP="00067795">
            <w:pPr>
              <w:contextualSpacing/>
              <w:rPr>
                <w:rFonts w:ascii="Verdana" w:hAnsi="Verdana"/>
              </w:rPr>
            </w:pPr>
            <w:r w:rsidRPr="00E020FF">
              <w:rPr>
                <w:rFonts w:ascii="Verdana" w:hAnsi="Verdana"/>
              </w:rPr>
              <w:t>3</w:t>
            </w:r>
          </w:p>
        </w:tc>
        <w:tc>
          <w:tcPr>
            <w:tcW w:w="103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550868F" w14:textId="77777777" w:rsidR="004C0FA9" w:rsidRPr="00E020FF" w:rsidRDefault="004C0FA9" w:rsidP="00067795">
            <w:pPr>
              <w:contextualSpacing/>
              <w:rPr>
                <w:rFonts w:ascii="Verdana" w:hAnsi="Verdana"/>
              </w:rPr>
            </w:pPr>
            <w:r w:rsidRPr="00E020FF">
              <w:rPr>
                <w:rFonts w:ascii="Verdana" w:hAnsi="Verdana"/>
              </w:rPr>
              <w:t>Yes</w:t>
            </w:r>
          </w:p>
        </w:tc>
        <w:tc>
          <w:tcPr>
            <w:tcW w:w="403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D46CED2" w14:textId="77777777" w:rsidR="004C0FA9" w:rsidRPr="00E020FF" w:rsidRDefault="004C0FA9" w:rsidP="00067795">
            <w:pPr>
              <w:contextualSpacing/>
              <w:rPr>
                <w:rFonts w:ascii="Verdana" w:hAnsi="Verdana"/>
              </w:rPr>
            </w:pPr>
            <w:r w:rsidRPr="00E020FF">
              <w:rPr>
                <w:rFonts w:ascii="Verdana" w:hAnsi="Verdana"/>
              </w:rPr>
              <w:t>Prototypes developed through surveying inpatients, with input from volunteers and the Patient Experience Committee. Board design simplified based on feedback from patients, staff, volunteers, and consumer advisors. Three-month trial on the Inpatient Ward with feedback captured by volunteers. Staff education provided on completing boards with patients and updating them as needed. Consumer feedback highlighted the need for consistent staff engagement and training, particularly for patients with vision impairments or language barriers, which will be incorporated into future staff education. Plans to improve physical design (</w:t>
            </w:r>
            <w:proofErr w:type="spellStart"/>
            <w:r w:rsidRPr="00E020FF">
              <w:rPr>
                <w:rFonts w:ascii="Verdana" w:hAnsi="Verdana"/>
              </w:rPr>
              <w:t>perspex</w:t>
            </w:r>
            <w:proofErr w:type="spellEnd"/>
            <w:r w:rsidRPr="00E020FF">
              <w:rPr>
                <w:rFonts w:ascii="Verdana" w:hAnsi="Verdana"/>
              </w:rPr>
              <w:t xml:space="preserve"> covers, whiteboard markers) to enhance accessibility.</w:t>
            </w:r>
          </w:p>
        </w:tc>
        <w:tc>
          <w:tcPr>
            <w:tcW w:w="10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795B4E" w14:textId="77777777" w:rsidR="004C0FA9" w:rsidRPr="00E020FF" w:rsidRDefault="004C0FA9" w:rsidP="00067795">
            <w:pPr>
              <w:contextualSpacing/>
              <w:rPr>
                <w:rFonts w:ascii="Verdana" w:hAnsi="Verdana"/>
              </w:rPr>
            </w:pPr>
            <w:r w:rsidRPr="00E020FF">
              <w:rPr>
                <w:rFonts w:ascii="Verdana" w:hAnsi="Verdana"/>
              </w:rPr>
              <w:t>N/A</w:t>
            </w:r>
          </w:p>
        </w:tc>
        <w:tc>
          <w:tcPr>
            <w:tcW w:w="407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B0937A" w14:textId="77777777" w:rsidR="004C0FA9" w:rsidRPr="00E020FF" w:rsidRDefault="004C0FA9" w:rsidP="00067795">
            <w:pPr>
              <w:contextualSpacing/>
              <w:rPr>
                <w:rFonts w:ascii="Verdana" w:hAnsi="Verdana"/>
              </w:rPr>
            </w:pPr>
            <w:r w:rsidRPr="00E020FF">
              <w:rPr>
                <w:rFonts w:ascii="Verdana" w:hAnsi="Verdana"/>
              </w:rPr>
              <w:t>The assessment considered the intersection of gender with vision impairment and language diversity, recognising that these compounding factors affect patients’ ability to access care information. Consumer advisors specifically identified that patients with vision impairments or language barriers require additional staff engagement to benefit from the communication boards.</w:t>
            </w:r>
          </w:p>
        </w:tc>
        <w:tc>
          <w:tcPr>
            <w:tcW w:w="406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16AEDA" w14:textId="77777777" w:rsidR="004C0FA9" w:rsidRPr="00E020FF" w:rsidRDefault="004C0FA9" w:rsidP="00067795">
            <w:pPr>
              <w:contextualSpacing/>
              <w:rPr>
                <w:rFonts w:ascii="Verdana" w:hAnsi="Verdana"/>
              </w:rPr>
            </w:pPr>
            <w:r w:rsidRPr="00E020FF">
              <w:rPr>
                <w:rFonts w:ascii="Verdana" w:hAnsi="Verdana"/>
              </w:rPr>
              <w:t>Staff education to include specific guidance on supporting patients with vision impairments and language barriers to access board content. Ongoing consumer feedback mechanisms to identify accessibility gaps.</w:t>
            </w:r>
          </w:p>
        </w:tc>
      </w:tr>
      <w:tr w:rsidR="004C0FA9" w:rsidRPr="00E020FF" w14:paraId="77BA2384" w14:textId="77777777" w:rsidTr="00CE470A">
        <w:trPr>
          <w:trHeight w:val="2041"/>
        </w:trPr>
        <w:tc>
          <w:tcPr>
            <w:tcW w:w="5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BA9212" w14:textId="77777777" w:rsidR="004C0FA9" w:rsidRPr="00E020FF" w:rsidRDefault="004C0FA9" w:rsidP="00067795">
            <w:pPr>
              <w:contextualSpacing/>
              <w:rPr>
                <w:rFonts w:ascii="Verdana" w:hAnsi="Verdana"/>
              </w:rPr>
            </w:pPr>
            <w:r w:rsidRPr="00E020FF">
              <w:rPr>
                <w:rFonts w:ascii="Verdana" w:hAnsi="Verdana"/>
              </w:rPr>
              <w:lastRenderedPageBreak/>
              <w:t>4</w:t>
            </w:r>
          </w:p>
        </w:tc>
        <w:tc>
          <w:tcPr>
            <w:tcW w:w="103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828764" w14:textId="77777777" w:rsidR="004C0FA9" w:rsidRPr="00E020FF" w:rsidRDefault="004C0FA9" w:rsidP="00067795">
            <w:pPr>
              <w:contextualSpacing/>
              <w:rPr>
                <w:rFonts w:ascii="Verdana" w:hAnsi="Verdana"/>
              </w:rPr>
            </w:pPr>
            <w:r w:rsidRPr="00E020FF">
              <w:rPr>
                <w:rFonts w:ascii="Verdana" w:hAnsi="Verdana"/>
              </w:rPr>
              <w:t>Yes</w:t>
            </w:r>
          </w:p>
        </w:tc>
        <w:tc>
          <w:tcPr>
            <w:tcW w:w="403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E90F2C6" w14:textId="77777777" w:rsidR="004C0FA9" w:rsidRPr="00E020FF" w:rsidRDefault="004C0FA9" w:rsidP="00067795">
            <w:pPr>
              <w:contextualSpacing/>
              <w:rPr>
                <w:rFonts w:ascii="Verdana" w:hAnsi="Verdana"/>
              </w:rPr>
            </w:pPr>
            <w:r w:rsidRPr="00E020FF">
              <w:rPr>
                <w:rFonts w:ascii="Verdana" w:hAnsi="Verdana"/>
              </w:rPr>
              <w:t>Consumer engagement ensured information is clear, concise, and written in plain language. Design specifically considered vision impaired individuals who use assistive readers, ensuring layout compatibility. Plans for multilingual dissemination to address language diversity.</w:t>
            </w:r>
          </w:p>
        </w:tc>
        <w:tc>
          <w:tcPr>
            <w:tcW w:w="10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BE81E6" w14:textId="77777777" w:rsidR="004C0FA9" w:rsidRPr="00E020FF" w:rsidRDefault="004C0FA9" w:rsidP="00067795">
            <w:pPr>
              <w:contextualSpacing/>
              <w:rPr>
                <w:rFonts w:ascii="Verdana" w:hAnsi="Verdana"/>
              </w:rPr>
            </w:pPr>
            <w:r w:rsidRPr="00E020FF">
              <w:rPr>
                <w:rFonts w:ascii="Verdana" w:hAnsi="Verdana"/>
              </w:rPr>
              <w:t>N/A</w:t>
            </w:r>
          </w:p>
        </w:tc>
        <w:tc>
          <w:tcPr>
            <w:tcW w:w="407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C8A4AF2" w14:textId="77777777" w:rsidR="004C0FA9" w:rsidRPr="00E020FF" w:rsidRDefault="004C0FA9" w:rsidP="00067795">
            <w:pPr>
              <w:contextualSpacing/>
              <w:rPr>
                <w:rFonts w:ascii="Verdana" w:hAnsi="Verdana"/>
              </w:rPr>
            </w:pPr>
            <w:r w:rsidRPr="00E020FF">
              <w:rPr>
                <w:rFonts w:ascii="Verdana" w:hAnsi="Verdana"/>
              </w:rPr>
              <w:t>The assessment considered the intersection of gender with vision impairment and cultural and linguistic diversity. Design decisions prioritised compatibility with assistive reading technology used by vision impaired patients, and multilingual provision was planned to address language barriers.</w:t>
            </w:r>
          </w:p>
        </w:tc>
        <w:tc>
          <w:tcPr>
            <w:tcW w:w="406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069D918" w14:textId="77777777" w:rsidR="004C0FA9" w:rsidRPr="00E020FF" w:rsidRDefault="004C0FA9" w:rsidP="00067795">
            <w:pPr>
              <w:contextualSpacing/>
              <w:rPr>
                <w:rFonts w:ascii="Verdana" w:hAnsi="Verdana"/>
              </w:rPr>
            </w:pPr>
            <w:r w:rsidRPr="00E020FF">
              <w:rPr>
                <w:rFonts w:ascii="Verdana" w:hAnsi="Verdana"/>
              </w:rPr>
              <w:t>Layout designed for compatibility with assistive reading technology. Planned multilingual dissemination.</w:t>
            </w:r>
          </w:p>
        </w:tc>
      </w:tr>
      <w:tr w:rsidR="004C0FA9" w:rsidRPr="00E020FF" w14:paraId="6371B611" w14:textId="77777777" w:rsidTr="00CE470A">
        <w:trPr>
          <w:trHeight w:val="2041"/>
        </w:trPr>
        <w:tc>
          <w:tcPr>
            <w:tcW w:w="5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F168D4" w14:textId="77777777" w:rsidR="004C0FA9" w:rsidRPr="00E020FF" w:rsidRDefault="004C0FA9" w:rsidP="00067795">
            <w:pPr>
              <w:contextualSpacing/>
              <w:rPr>
                <w:rFonts w:ascii="Verdana" w:hAnsi="Verdana"/>
              </w:rPr>
            </w:pPr>
            <w:r w:rsidRPr="00E020FF">
              <w:rPr>
                <w:rFonts w:ascii="Verdana" w:hAnsi="Verdana"/>
              </w:rPr>
              <w:t>5</w:t>
            </w:r>
          </w:p>
        </w:tc>
        <w:tc>
          <w:tcPr>
            <w:tcW w:w="103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4F6834" w14:textId="77777777" w:rsidR="004C0FA9" w:rsidRPr="00E020FF" w:rsidRDefault="004C0FA9" w:rsidP="00067795">
            <w:pPr>
              <w:contextualSpacing/>
              <w:rPr>
                <w:rFonts w:ascii="Verdana" w:hAnsi="Verdana"/>
              </w:rPr>
            </w:pPr>
            <w:r w:rsidRPr="00E020FF">
              <w:rPr>
                <w:rFonts w:ascii="Verdana" w:hAnsi="Verdana"/>
              </w:rPr>
              <w:t>Yes</w:t>
            </w:r>
          </w:p>
        </w:tc>
        <w:tc>
          <w:tcPr>
            <w:tcW w:w="403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5D6EE7" w14:textId="0CFA0F8C" w:rsidR="004C0FA9" w:rsidRPr="00E020FF" w:rsidRDefault="004C0FA9" w:rsidP="00067795">
            <w:pPr>
              <w:contextualSpacing/>
              <w:rPr>
                <w:rFonts w:ascii="Verdana" w:hAnsi="Verdana"/>
              </w:rPr>
            </w:pPr>
            <w:r w:rsidRPr="00E020FF">
              <w:rPr>
                <w:rFonts w:ascii="Verdana" w:hAnsi="Verdana"/>
              </w:rPr>
              <w:t xml:space="preserve">Development is underway following the same consumer-engaged approach as the </w:t>
            </w:r>
            <w:r w:rsidR="00C83281" w:rsidRPr="00E020FF">
              <w:rPr>
                <w:rFonts w:ascii="Verdana" w:hAnsi="Verdana"/>
              </w:rPr>
              <w:t>Age-Related</w:t>
            </w:r>
            <w:r w:rsidRPr="00E020FF">
              <w:rPr>
                <w:rFonts w:ascii="Verdana" w:hAnsi="Verdana"/>
              </w:rPr>
              <w:t xml:space="preserve"> Macular Degeneration discharge information sheet, with attention to accessible design and plain language.</w:t>
            </w:r>
          </w:p>
        </w:tc>
        <w:tc>
          <w:tcPr>
            <w:tcW w:w="10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746FDB" w14:textId="77777777" w:rsidR="004C0FA9" w:rsidRPr="00E020FF" w:rsidRDefault="004C0FA9" w:rsidP="00067795">
            <w:pPr>
              <w:contextualSpacing/>
              <w:rPr>
                <w:rFonts w:ascii="Verdana" w:hAnsi="Verdana"/>
              </w:rPr>
            </w:pPr>
            <w:r w:rsidRPr="00E020FF">
              <w:rPr>
                <w:rFonts w:ascii="Verdana" w:hAnsi="Verdana"/>
              </w:rPr>
              <w:t>N/A</w:t>
            </w:r>
          </w:p>
        </w:tc>
        <w:tc>
          <w:tcPr>
            <w:tcW w:w="407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F3F986" w14:textId="72764A39" w:rsidR="004C0FA9" w:rsidRPr="00E020FF" w:rsidRDefault="004C0FA9" w:rsidP="00067795">
            <w:pPr>
              <w:contextualSpacing/>
              <w:rPr>
                <w:rFonts w:ascii="Verdana" w:hAnsi="Verdana"/>
              </w:rPr>
            </w:pPr>
            <w:r w:rsidRPr="00E020FF">
              <w:rPr>
                <w:rFonts w:ascii="Verdana" w:hAnsi="Verdana"/>
              </w:rPr>
              <w:t xml:space="preserve">Intersectional considerations are being applied consistent with those identified for the </w:t>
            </w:r>
            <w:r w:rsidR="00C83281" w:rsidRPr="00E020FF">
              <w:rPr>
                <w:rFonts w:ascii="Verdana" w:hAnsi="Verdana"/>
              </w:rPr>
              <w:t>Age-Related</w:t>
            </w:r>
            <w:r w:rsidRPr="00E020FF">
              <w:rPr>
                <w:rFonts w:ascii="Verdana" w:hAnsi="Verdana"/>
              </w:rPr>
              <w:t xml:space="preserve"> Macular Degeneration discharge information sheet, including vision impairment, language diversity, and health literacy.</w:t>
            </w:r>
          </w:p>
        </w:tc>
        <w:tc>
          <w:tcPr>
            <w:tcW w:w="406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5B88923" w14:textId="0F14EBFB" w:rsidR="004C0FA9" w:rsidRPr="00E020FF" w:rsidRDefault="004C0FA9" w:rsidP="00067795">
            <w:pPr>
              <w:contextualSpacing/>
              <w:rPr>
                <w:rFonts w:ascii="Verdana" w:hAnsi="Verdana"/>
              </w:rPr>
            </w:pPr>
            <w:r w:rsidRPr="00E020FF">
              <w:rPr>
                <w:rFonts w:ascii="Verdana" w:hAnsi="Verdana"/>
              </w:rPr>
              <w:t xml:space="preserve">Design will follow the accessible format established through the </w:t>
            </w:r>
            <w:r w:rsidR="00C83281" w:rsidRPr="00E020FF">
              <w:rPr>
                <w:rFonts w:ascii="Verdana" w:hAnsi="Verdana"/>
              </w:rPr>
              <w:t>Age-Related</w:t>
            </w:r>
            <w:r w:rsidRPr="00E020FF">
              <w:rPr>
                <w:rFonts w:ascii="Verdana" w:hAnsi="Verdana"/>
              </w:rPr>
              <w:t xml:space="preserve"> Macular Degeneration information sheet development.</w:t>
            </w:r>
          </w:p>
        </w:tc>
      </w:tr>
      <w:tr w:rsidR="004C0FA9" w:rsidRPr="00E020FF" w14:paraId="19428922" w14:textId="77777777" w:rsidTr="00CE470A">
        <w:trPr>
          <w:trHeight w:val="2041"/>
        </w:trPr>
        <w:tc>
          <w:tcPr>
            <w:tcW w:w="5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CB7DB47" w14:textId="77C45210" w:rsidR="004C0FA9" w:rsidRPr="00E020FF" w:rsidRDefault="00C262AA" w:rsidP="00067795">
            <w:pPr>
              <w:contextualSpacing/>
              <w:rPr>
                <w:rFonts w:ascii="Verdana" w:hAnsi="Verdana"/>
              </w:rPr>
            </w:pPr>
            <w:r>
              <w:rPr>
                <w:rFonts w:ascii="Verdana" w:hAnsi="Verdana"/>
              </w:rPr>
              <w:t>6</w:t>
            </w:r>
          </w:p>
        </w:tc>
        <w:tc>
          <w:tcPr>
            <w:tcW w:w="103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463E478" w14:textId="77777777" w:rsidR="004C0FA9" w:rsidRPr="00E020FF" w:rsidRDefault="004C0FA9" w:rsidP="00067795">
            <w:pPr>
              <w:contextualSpacing/>
              <w:rPr>
                <w:rFonts w:ascii="Verdana" w:hAnsi="Verdana"/>
              </w:rPr>
            </w:pPr>
            <w:r w:rsidRPr="00E020FF">
              <w:rPr>
                <w:rFonts w:ascii="Verdana" w:hAnsi="Verdana"/>
              </w:rPr>
              <w:t>Yes</w:t>
            </w:r>
          </w:p>
        </w:tc>
        <w:tc>
          <w:tcPr>
            <w:tcW w:w="403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740B9D8" w14:textId="77777777" w:rsidR="004C0FA9" w:rsidRPr="00E020FF" w:rsidRDefault="004C0FA9" w:rsidP="00067795">
            <w:pPr>
              <w:contextualSpacing/>
              <w:rPr>
                <w:rFonts w:ascii="Verdana" w:hAnsi="Verdana"/>
              </w:rPr>
            </w:pPr>
            <w:r w:rsidRPr="00E020FF">
              <w:rPr>
                <w:rFonts w:ascii="Verdana" w:hAnsi="Verdana"/>
              </w:rPr>
              <w:t>Early consultation with the Community Advisory Committee Consumer Working Group, which included a diverse group of consumers including a consumer with severe vision impairment. The consumer with vision impairment supported the app concept given the current call system’s accessibility limitations. Considerations raised regarding barriers for older patients. Further consultation and development planned as the initiative progresses.</w:t>
            </w:r>
          </w:p>
        </w:tc>
        <w:tc>
          <w:tcPr>
            <w:tcW w:w="10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265CAD" w14:textId="77777777" w:rsidR="004C0FA9" w:rsidRPr="00E020FF" w:rsidRDefault="004C0FA9" w:rsidP="00067795">
            <w:pPr>
              <w:contextualSpacing/>
              <w:rPr>
                <w:rFonts w:ascii="Verdana" w:hAnsi="Verdana"/>
              </w:rPr>
            </w:pPr>
            <w:r w:rsidRPr="00E020FF">
              <w:rPr>
                <w:rFonts w:ascii="Verdana" w:hAnsi="Verdana"/>
              </w:rPr>
              <w:t>N/A</w:t>
            </w:r>
          </w:p>
        </w:tc>
        <w:tc>
          <w:tcPr>
            <w:tcW w:w="407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BE1E15" w14:textId="0D8AB2AC" w:rsidR="004C0FA9" w:rsidRPr="00E020FF" w:rsidRDefault="004C0FA9" w:rsidP="00067795">
            <w:pPr>
              <w:contextualSpacing/>
              <w:rPr>
                <w:rFonts w:ascii="Verdana" w:hAnsi="Verdana"/>
              </w:rPr>
            </w:pPr>
            <w:r w:rsidRPr="00E020FF">
              <w:rPr>
                <w:rFonts w:ascii="Verdana" w:hAnsi="Verdana"/>
              </w:rPr>
              <w:t xml:space="preserve">The consultation included consumers experiencing the intersection of gender with vision impairment and age. A consumer with severe vision impairment provided direct input on how the current system fails to meet accessibility needs. Concerns were raised about the intersection of age with technology access, recognising that </w:t>
            </w:r>
            <w:r w:rsidR="00E74FE7">
              <w:rPr>
                <w:rFonts w:ascii="Verdana" w:hAnsi="Verdana"/>
              </w:rPr>
              <w:t xml:space="preserve">the </w:t>
            </w:r>
            <w:r w:rsidRPr="00E020FF">
              <w:rPr>
                <w:rFonts w:ascii="Verdana" w:hAnsi="Verdana"/>
              </w:rPr>
              <w:t>Eye and Ear’s older patient cohort may face barriers to app-based services.</w:t>
            </w:r>
          </w:p>
        </w:tc>
        <w:tc>
          <w:tcPr>
            <w:tcW w:w="406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B94DF2C" w14:textId="77777777" w:rsidR="004C0FA9" w:rsidRPr="00E020FF" w:rsidRDefault="004C0FA9" w:rsidP="00067795">
            <w:pPr>
              <w:contextualSpacing/>
              <w:rPr>
                <w:rFonts w:ascii="Verdana" w:hAnsi="Verdana"/>
              </w:rPr>
            </w:pPr>
            <w:r w:rsidRPr="00E020FF">
              <w:rPr>
                <w:rFonts w:ascii="Verdana" w:hAnsi="Verdana"/>
              </w:rPr>
              <w:t>Diverse consumer representation in initial consultation, including consumers with severe vision impairment. Further consultation planned to address identified barriers for older patients and patients with disabilities.</w:t>
            </w:r>
          </w:p>
        </w:tc>
      </w:tr>
      <w:tr w:rsidR="004C0FA9" w:rsidRPr="00E020FF" w14:paraId="0EB26E30" w14:textId="77777777" w:rsidTr="00CE470A">
        <w:trPr>
          <w:trHeight w:val="2041"/>
        </w:trPr>
        <w:tc>
          <w:tcPr>
            <w:tcW w:w="5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893916E" w14:textId="5F596CAC" w:rsidR="004C0FA9" w:rsidRPr="00E020FF" w:rsidRDefault="00C262AA" w:rsidP="00067795">
            <w:pPr>
              <w:contextualSpacing/>
              <w:rPr>
                <w:rFonts w:ascii="Verdana" w:hAnsi="Verdana"/>
              </w:rPr>
            </w:pPr>
            <w:r>
              <w:rPr>
                <w:rFonts w:ascii="Verdana" w:hAnsi="Verdana"/>
              </w:rPr>
              <w:lastRenderedPageBreak/>
              <w:t>7</w:t>
            </w:r>
          </w:p>
        </w:tc>
        <w:tc>
          <w:tcPr>
            <w:tcW w:w="103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03EE5A7" w14:textId="77777777" w:rsidR="004C0FA9" w:rsidRPr="00E020FF" w:rsidRDefault="004C0FA9" w:rsidP="00067795">
            <w:pPr>
              <w:contextualSpacing/>
              <w:rPr>
                <w:rFonts w:ascii="Verdana" w:hAnsi="Verdana"/>
              </w:rPr>
            </w:pPr>
            <w:r w:rsidRPr="00E020FF">
              <w:rPr>
                <w:rFonts w:ascii="Verdana" w:hAnsi="Verdana"/>
              </w:rPr>
              <w:t>Yes</w:t>
            </w:r>
          </w:p>
        </w:tc>
        <w:tc>
          <w:tcPr>
            <w:tcW w:w="403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7FD1674" w14:textId="77777777" w:rsidR="004C0FA9" w:rsidRPr="00E020FF" w:rsidRDefault="004C0FA9" w:rsidP="00067795">
            <w:pPr>
              <w:contextualSpacing/>
              <w:rPr>
                <w:rFonts w:ascii="Verdana" w:hAnsi="Verdana"/>
              </w:rPr>
            </w:pPr>
            <w:r w:rsidRPr="00E020FF">
              <w:rPr>
                <w:rFonts w:ascii="Verdana" w:hAnsi="Verdana"/>
              </w:rPr>
              <w:t>Staff, volunteers, and consumers provided feedback on comfort and aesthetics of replacement seating options. The selected option prioritised sturdiness and comfort for a diverse group of patients including bariatric patients. Seating placed close to nursing and clerical areas for ease of access by patients with mobility challenges or mobility aids who may need more space and closer proximity to staff support. Ongoing feedback welcomed from Emergency Department patients to ensure needs are met.</w:t>
            </w:r>
          </w:p>
        </w:tc>
        <w:tc>
          <w:tcPr>
            <w:tcW w:w="10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53315D" w14:textId="77777777" w:rsidR="004C0FA9" w:rsidRPr="00E020FF" w:rsidRDefault="004C0FA9" w:rsidP="00067795">
            <w:pPr>
              <w:contextualSpacing/>
              <w:rPr>
                <w:rFonts w:ascii="Verdana" w:hAnsi="Verdana"/>
              </w:rPr>
            </w:pPr>
            <w:r w:rsidRPr="00E020FF">
              <w:rPr>
                <w:rFonts w:ascii="Verdana" w:hAnsi="Verdana"/>
              </w:rPr>
              <w:t>N/A</w:t>
            </w:r>
          </w:p>
        </w:tc>
        <w:tc>
          <w:tcPr>
            <w:tcW w:w="407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9992BB" w14:textId="77777777" w:rsidR="004C0FA9" w:rsidRPr="00E020FF" w:rsidRDefault="004C0FA9" w:rsidP="00067795">
            <w:pPr>
              <w:contextualSpacing/>
              <w:rPr>
                <w:rFonts w:ascii="Verdana" w:hAnsi="Verdana"/>
              </w:rPr>
            </w:pPr>
            <w:r w:rsidRPr="00E020FF">
              <w:rPr>
                <w:rFonts w:ascii="Verdana" w:hAnsi="Verdana"/>
              </w:rPr>
              <w:t>An intersectional lens was applied recognising that gender intersects with age, disability, and body size. Older adults were considered for mobility challenges and the need for accessible seating near staff areas. People with disabilities were considered in relation to mobility and visibility challenges, with provision for greater space and close staff access. Feedback mechanisms maintained for ongoing improvement.</w:t>
            </w:r>
          </w:p>
        </w:tc>
        <w:tc>
          <w:tcPr>
            <w:tcW w:w="406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9ED085" w14:textId="77777777" w:rsidR="004C0FA9" w:rsidRPr="00E020FF" w:rsidRDefault="004C0FA9" w:rsidP="00067795">
            <w:pPr>
              <w:contextualSpacing/>
              <w:rPr>
                <w:rFonts w:ascii="Verdana" w:hAnsi="Verdana"/>
              </w:rPr>
            </w:pPr>
            <w:r w:rsidRPr="00E020FF">
              <w:rPr>
                <w:rFonts w:ascii="Verdana" w:hAnsi="Verdana"/>
              </w:rPr>
              <w:t>Seating positioned for accessibility by patients with mobility challenges. Selection criteria included suitability for bariatric patients and patients with mobility aids. Open feedback mechanism for ongoing assessment of diverse patient needs.</w:t>
            </w:r>
          </w:p>
        </w:tc>
      </w:tr>
      <w:tr w:rsidR="004C0FA9" w:rsidRPr="00E020FF" w14:paraId="4E672F73" w14:textId="77777777" w:rsidTr="00CE470A">
        <w:trPr>
          <w:trHeight w:val="2041"/>
        </w:trPr>
        <w:tc>
          <w:tcPr>
            <w:tcW w:w="5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39E22E" w14:textId="74E57E44" w:rsidR="004C0FA9" w:rsidRPr="00E020FF" w:rsidRDefault="00C262AA" w:rsidP="00067795">
            <w:pPr>
              <w:contextualSpacing/>
              <w:rPr>
                <w:rFonts w:ascii="Verdana" w:hAnsi="Verdana"/>
              </w:rPr>
            </w:pPr>
            <w:r>
              <w:rPr>
                <w:rFonts w:ascii="Verdana" w:hAnsi="Verdana"/>
              </w:rPr>
              <w:t>8</w:t>
            </w:r>
          </w:p>
        </w:tc>
        <w:tc>
          <w:tcPr>
            <w:tcW w:w="103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DA6E823" w14:textId="77777777" w:rsidR="004C0FA9" w:rsidRPr="00E020FF" w:rsidRDefault="004C0FA9" w:rsidP="00067795">
            <w:pPr>
              <w:contextualSpacing/>
              <w:rPr>
                <w:rFonts w:ascii="Verdana" w:hAnsi="Verdana"/>
              </w:rPr>
            </w:pPr>
            <w:r w:rsidRPr="00E020FF">
              <w:rPr>
                <w:rFonts w:ascii="Verdana" w:hAnsi="Verdana"/>
              </w:rPr>
              <w:t>Yes</w:t>
            </w:r>
          </w:p>
        </w:tc>
        <w:tc>
          <w:tcPr>
            <w:tcW w:w="403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7245012" w14:textId="77777777" w:rsidR="004C0FA9" w:rsidRPr="00E020FF" w:rsidRDefault="004C0FA9" w:rsidP="00067795">
            <w:pPr>
              <w:contextualSpacing/>
              <w:rPr>
                <w:rFonts w:ascii="Verdana" w:hAnsi="Verdana"/>
              </w:rPr>
            </w:pPr>
            <w:r w:rsidRPr="00E020FF">
              <w:rPr>
                <w:rFonts w:ascii="Verdana" w:hAnsi="Verdana"/>
              </w:rPr>
              <w:t xml:space="preserve">The concept was presented to the Consumer Advisory Committee Consumer Working Group. Consumers expressed support and were particularly interested in how social stories could be adapted for multicultural communities. Further development and consultation </w:t>
            </w:r>
            <w:proofErr w:type="gramStart"/>
            <w:r w:rsidRPr="00E020FF">
              <w:rPr>
                <w:rFonts w:ascii="Verdana" w:hAnsi="Verdana"/>
              </w:rPr>
              <w:t>is</w:t>
            </w:r>
            <w:proofErr w:type="gramEnd"/>
            <w:r w:rsidRPr="00E020FF">
              <w:rPr>
                <w:rFonts w:ascii="Verdana" w:hAnsi="Verdana"/>
              </w:rPr>
              <w:t xml:space="preserve"> required as the initiative progresses.</w:t>
            </w:r>
          </w:p>
        </w:tc>
        <w:tc>
          <w:tcPr>
            <w:tcW w:w="10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2095B5" w14:textId="77777777" w:rsidR="004C0FA9" w:rsidRPr="00E020FF" w:rsidRDefault="004C0FA9" w:rsidP="00067795">
            <w:pPr>
              <w:contextualSpacing/>
              <w:rPr>
                <w:rFonts w:ascii="Verdana" w:hAnsi="Verdana"/>
              </w:rPr>
            </w:pPr>
            <w:r w:rsidRPr="00E020FF">
              <w:rPr>
                <w:rFonts w:ascii="Verdana" w:hAnsi="Verdana"/>
              </w:rPr>
              <w:t>N/A</w:t>
            </w:r>
          </w:p>
        </w:tc>
        <w:tc>
          <w:tcPr>
            <w:tcW w:w="407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1C326C" w14:textId="77777777" w:rsidR="004C0FA9" w:rsidRPr="00E020FF" w:rsidRDefault="004C0FA9" w:rsidP="00067795">
            <w:pPr>
              <w:contextualSpacing/>
              <w:rPr>
                <w:rFonts w:ascii="Verdana" w:hAnsi="Verdana"/>
              </w:rPr>
            </w:pPr>
            <w:r w:rsidRPr="00E020FF">
              <w:rPr>
                <w:rFonts w:ascii="Verdana" w:hAnsi="Verdana"/>
              </w:rPr>
              <w:t xml:space="preserve">Consumer discussion identified the intersection of gender with cultural and linguistic diversity as a priority for social story development, recognising that patients from multicultural </w:t>
            </w:r>
            <w:proofErr w:type="gramStart"/>
            <w:r w:rsidRPr="00E020FF">
              <w:rPr>
                <w:rFonts w:ascii="Verdana" w:hAnsi="Verdana"/>
              </w:rPr>
              <w:t>communities</w:t>
            </w:r>
            <w:proofErr w:type="gramEnd"/>
            <w:r w:rsidRPr="00E020FF">
              <w:rPr>
                <w:rFonts w:ascii="Verdana" w:hAnsi="Verdana"/>
              </w:rPr>
              <w:t xml:space="preserve"> face compounding barriers in accessing and navigating specialist healthcare.</w:t>
            </w:r>
          </w:p>
        </w:tc>
        <w:tc>
          <w:tcPr>
            <w:tcW w:w="406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CC721C5" w14:textId="77777777" w:rsidR="004C0FA9" w:rsidRPr="00E020FF" w:rsidRDefault="004C0FA9" w:rsidP="00067795">
            <w:pPr>
              <w:contextualSpacing/>
              <w:rPr>
                <w:rFonts w:ascii="Verdana" w:hAnsi="Verdana"/>
              </w:rPr>
            </w:pPr>
            <w:r w:rsidRPr="00E020FF">
              <w:rPr>
                <w:rFonts w:ascii="Verdana" w:hAnsi="Verdana"/>
              </w:rPr>
              <w:t>Consumer-identified priority for multicultural adaptation of social stories to be incorporated into future development.</w:t>
            </w:r>
          </w:p>
        </w:tc>
      </w:tr>
      <w:tr w:rsidR="004C0FA9" w:rsidRPr="00E020FF" w14:paraId="0B77F9F8" w14:textId="77777777" w:rsidTr="00CE470A">
        <w:trPr>
          <w:trHeight w:val="2041"/>
        </w:trPr>
        <w:tc>
          <w:tcPr>
            <w:tcW w:w="5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94210C" w14:textId="457CD29C" w:rsidR="004C0FA9" w:rsidRPr="00E020FF" w:rsidRDefault="00C262AA" w:rsidP="00067795">
            <w:pPr>
              <w:contextualSpacing/>
              <w:rPr>
                <w:rFonts w:ascii="Verdana" w:hAnsi="Verdana"/>
              </w:rPr>
            </w:pPr>
            <w:r>
              <w:rPr>
                <w:rFonts w:ascii="Verdana" w:hAnsi="Verdana"/>
              </w:rPr>
              <w:t>9</w:t>
            </w:r>
          </w:p>
        </w:tc>
        <w:tc>
          <w:tcPr>
            <w:tcW w:w="103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C4B422" w14:textId="77777777" w:rsidR="004C0FA9" w:rsidRPr="00E020FF" w:rsidRDefault="004C0FA9" w:rsidP="00067795">
            <w:pPr>
              <w:contextualSpacing/>
              <w:rPr>
                <w:rFonts w:ascii="Verdana" w:hAnsi="Verdana"/>
              </w:rPr>
            </w:pPr>
            <w:r w:rsidRPr="00E020FF">
              <w:rPr>
                <w:rFonts w:ascii="Verdana" w:hAnsi="Verdana"/>
              </w:rPr>
              <w:t>Yes</w:t>
            </w:r>
          </w:p>
        </w:tc>
        <w:tc>
          <w:tcPr>
            <w:tcW w:w="403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D3F4FF8" w14:textId="77777777" w:rsidR="004C0FA9" w:rsidRPr="00E020FF" w:rsidRDefault="004C0FA9" w:rsidP="00067795">
            <w:pPr>
              <w:contextualSpacing/>
              <w:rPr>
                <w:rFonts w:ascii="Verdana" w:hAnsi="Verdana"/>
              </w:rPr>
            </w:pPr>
            <w:r w:rsidRPr="00E020FF">
              <w:rPr>
                <w:rFonts w:ascii="Verdana" w:hAnsi="Verdana"/>
              </w:rPr>
              <w:t>The tool was presented and discussed at the Patient Experience Committee. The group considered design simplicity, number of questions, and integration with existing Patient Communication Boards. A suggestion was adopted to consider using the tool for all patients to promote equity and inclusion while recognising its particular significance for certain cohorts.</w:t>
            </w:r>
          </w:p>
        </w:tc>
        <w:tc>
          <w:tcPr>
            <w:tcW w:w="10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0EBD235" w14:textId="77777777" w:rsidR="004C0FA9" w:rsidRPr="00E020FF" w:rsidRDefault="004C0FA9" w:rsidP="00067795">
            <w:pPr>
              <w:contextualSpacing/>
              <w:rPr>
                <w:rFonts w:ascii="Verdana" w:hAnsi="Verdana"/>
              </w:rPr>
            </w:pPr>
            <w:r w:rsidRPr="00E020FF">
              <w:rPr>
                <w:rFonts w:ascii="Verdana" w:hAnsi="Verdana"/>
              </w:rPr>
              <w:t>N/A</w:t>
            </w:r>
          </w:p>
        </w:tc>
        <w:tc>
          <w:tcPr>
            <w:tcW w:w="407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1EC117F" w14:textId="77777777" w:rsidR="004C0FA9" w:rsidRPr="00E020FF" w:rsidRDefault="004C0FA9" w:rsidP="00067795">
            <w:pPr>
              <w:contextualSpacing/>
              <w:rPr>
                <w:rFonts w:ascii="Verdana" w:hAnsi="Verdana"/>
              </w:rPr>
            </w:pPr>
            <w:r w:rsidRPr="00E020FF">
              <w:rPr>
                <w:rFonts w:ascii="Verdana" w:hAnsi="Verdana"/>
              </w:rPr>
              <w:t>The assessment considered the intersection of gender with age and cognitive impairment, recognising that dementia and delirium disproportionately affect older patients. The committee’s suggestion to extend the tool to all patients reflects an inclusive approach that avoids singling out specific patient groups while maintaining targeted support for those who benefit most.</w:t>
            </w:r>
          </w:p>
        </w:tc>
        <w:tc>
          <w:tcPr>
            <w:tcW w:w="406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681199" w14:textId="77777777" w:rsidR="004C0FA9" w:rsidRPr="00E020FF" w:rsidRDefault="004C0FA9" w:rsidP="00067795">
            <w:pPr>
              <w:contextualSpacing/>
              <w:rPr>
                <w:rFonts w:ascii="Verdana" w:hAnsi="Verdana"/>
              </w:rPr>
            </w:pPr>
            <w:r w:rsidRPr="00E020FF">
              <w:rPr>
                <w:rFonts w:ascii="Verdana" w:hAnsi="Verdana"/>
              </w:rPr>
              <w:t>Recommendation to extend the tool to all patients to promote equity and inclusion, avoiding stigmatisation of patients with dementia or delirium.</w:t>
            </w:r>
          </w:p>
        </w:tc>
      </w:tr>
      <w:tr w:rsidR="004C0FA9" w:rsidRPr="00E020FF" w14:paraId="03BC8A94" w14:textId="77777777" w:rsidTr="00CE470A">
        <w:trPr>
          <w:trHeight w:val="2041"/>
        </w:trPr>
        <w:tc>
          <w:tcPr>
            <w:tcW w:w="5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4BD5B57" w14:textId="52B4C25B" w:rsidR="004C0FA9" w:rsidRPr="00E020FF" w:rsidRDefault="00C262AA" w:rsidP="00067795">
            <w:pPr>
              <w:contextualSpacing/>
              <w:rPr>
                <w:rFonts w:ascii="Verdana" w:hAnsi="Verdana"/>
              </w:rPr>
            </w:pPr>
            <w:r>
              <w:rPr>
                <w:rFonts w:ascii="Verdana" w:hAnsi="Verdana"/>
              </w:rPr>
              <w:lastRenderedPageBreak/>
              <w:t>10</w:t>
            </w:r>
          </w:p>
        </w:tc>
        <w:tc>
          <w:tcPr>
            <w:tcW w:w="103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65CD95" w14:textId="77777777" w:rsidR="004C0FA9" w:rsidRPr="00E020FF" w:rsidRDefault="004C0FA9" w:rsidP="00067795">
            <w:pPr>
              <w:contextualSpacing/>
              <w:rPr>
                <w:rFonts w:ascii="Verdana" w:hAnsi="Verdana"/>
              </w:rPr>
            </w:pPr>
            <w:r w:rsidRPr="00E020FF">
              <w:rPr>
                <w:rFonts w:ascii="Verdana" w:hAnsi="Verdana"/>
              </w:rPr>
              <w:t>Yes</w:t>
            </w:r>
          </w:p>
        </w:tc>
        <w:tc>
          <w:tcPr>
            <w:tcW w:w="403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8C90B7" w14:textId="77777777" w:rsidR="004C0FA9" w:rsidRPr="00E020FF" w:rsidRDefault="004C0FA9" w:rsidP="00067795">
            <w:pPr>
              <w:contextualSpacing/>
              <w:rPr>
                <w:rFonts w:ascii="Verdana" w:hAnsi="Verdana"/>
              </w:rPr>
            </w:pPr>
            <w:r w:rsidRPr="00E020FF">
              <w:rPr>
                <w:rFonts w:ascii="Verdana" w:hAnsi="Verdana"/>
              </w:rPr>
              <w:t>The leaflet was adapted from a Peter MacCallum Cancer Centre patient information leaflet with input from consumers and the Partnering with Consumers committee. Multiple drafts were reviewed through both the Partnering with Consumers committee and the Drugs and Therapeutics committee to achieve an appropriate balance between delivering accurate medical information and respecting different cultures, faiths, ages, sexualities, and genders.</w:t>
            </w:r>
          </w:p>
        </w:tc>
        <w:tc>
          <w:tcPr>
            <w:tcW w:w="10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98902E" w14:textId="77777777" w:rsidR="004C0FA9" w:rsidRPr="00E020FF" w:rsidRDefault="004C0FA9" w:rsidP="00067795">
            <w:pPr>
              <w:contextualSpacing/>
              <w:rPr>
                <w:rFonts w:ascii="Verdana" w:hAnsi="Verdana"/>
              </w:rPr>
            </w:pPr>
            <w:r w:rsidRPr="00E020FF">
              <w:rPr>
                <w:rFonts w:ascii="Verdana" w:hAnsi="Verdana"/>
              </w:rPr>
              <w:t>N/A</w:t>
            </w:r>
          </w:p>
        </w:tc>
        <w:tc>
          <w:tcPr>
            <w:tcW w:w="407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DFE412" w14:textId="77777777" w:rsidR="004C0FA9" w:rsidRPr="00E020FF" w:rsidRDefault="004C0FA9" w:rsidP="00067795">
            <w:pPr>
              <w:contextualSpacing/>
              <w:rPr>
                <w:rFonts w:ascii="Verdana" w:hAnsi="Verdana"/>
              </w:rPr>
            </w:pPr>
            <w:r w:rsidRPr="00E020FF">
              <w:rPr>
                <w:rFonts w:ascii="Verdana" w:hAnsi="Verdana"/>
              </w:rPr>
              <w:t>The assessment focused on the intersection of gender with sexuality, age, cultural background, and faith. The leaflet development process explicitly considered how information about progesterone-based medicine interactions needed to be communicated sensitively across these intersecting dimensions, recognising that reproductive health communication carries different sensitivities for different patient groups.</w:t>
            </w:r>
          </w:p>
        </w:tc>
        <w:tc>
          <w:tcPr>
            <w:tcW w:w="406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13D3238" w14:textId="77777777" w:rsidR="004C0FA9" w:rsidRPr="00E020FF" w:rsidRDefault="004C0FA9" w:rsidP="00067795">
            <w:pPr>
              <w:contextualSpacing/>
              <w:rPr>
                <w:rFonts w:ascii="Verdana" w:hAnsi="Verdana"/>
              </w:rPr>
            </w:pPr>
            <w:r w:rsidRPr="00E020FF">
              <w:rPr>
                <w:rFonts w:ascii="Verdana" w:hAnsi="Verdana"/>
              </w:rPr>
              <w:t>Iterative consumer and committee review process ensuring the leaflet respects diverse cultures, faiths, ages, sexualities, and genders while providing accurate clinical information.</w:t>
            </w:r>
          </w:p>
        </w:tc>
      </w:tr>
    </w:tbl>
    <w:p w14:paraId="731D0962" w14:textId="77777777" w:rsidR="004C0FA9" w:rsidRPr="002112CD" w:rsidRDefault="004C0FA9" w:rsidP="00067795">
      <w:pPr>
        <w:contextualSpacing/>
        <w:rPr>
          <w:rFonts w:ascii="Verdana" w:hAnsi="Verdana"/>
        </w:rPr>
      </w:pPr>
    </w:p>
    <w:p w14:paraId="6CFD72D2" w14:textId="3BFDE897" w:rsidR="00151C88" w:rsidRPr="002112CD" w:rsidRDefault="00151C88" w:rsidP="00067795">
      <w:pPr>
        <w:contextualSpacing/>
        <w:rPr>
          <w:rFonts w:ascii="Verdana" w:hAnsi="Verdana"/>
        </w:rPr>
      </w:pPr>
    </w:p>
    <w:p w14:paraId="76EDAF4E" w14:textId="77777777" w:rsidR="007B56F2" w:rsidRDefault="007B56F2">
      <w:pPr>
        <w:rPr>
          <w:rFonts w:ascii="Verdana" w:hAnsi="Verdana"/>
          <w:b/>
          <w:bCs/>
          <w:color w:val="1F3864"/>
          <w:sz w:val="32"/>
          <w:szCs w:val="32"/>
        </w:rPr>
      </w:pPr>
      <w:r>
        <w:rPr>
          <w:rFonts w:ascii="Verdana" w:hAnsi="Verdana"/>
        </w:rPr>
        <w:br w:type="page"/>
      </w:r>
    </w:p>
    <w:p w14:paraId="6CFD72D3" w14:textId="53296AA9" w:rsidR="00151C88" w:rsidRPr="002112CD" w:rsidRDefault="000C39A1" w:rsidP="00067795">
      <w:pPr>
        <w:pStyle w:val="Heading1"/>
        <w:spacing w:before="0" w:after="0"/>
        <w:contextualSpacing/>
        <w:rPr>
          <w:rFonts w:ascii="Verdana" w:hAnsi="Verdana"/>
        </w:rPr>
      </w:pPr>
      <w:r w:rsidRPr="002112CD">
        <w:rPr>
          <w:rFonts w:ascii="Verdana" w:hAnsi="Verdana"/>
        </w:rPr>
        <w:lastRenderedPageBreak/>
        <w:t>Step 2: Progress Against the Indicators</w:t>
      </w:r>
    </w:p>
    <w:p w14:paraId="6CFD72D4" w14:textId="77777777" w:rsidR="00151C88" w:rsidRPr="002112CD" w:rsidRDefault="000C39A1" w:rsidP="00067795">
      <w:pPr>
        <w:pStyle w:val="Heading2"/>
        <w:spacing w:before="0" w:after="0"/>
        <w:contextualSpacing/>
        <w:rPr>
          <w:rFonts w:ascii="Verdana" w:hAnsi="Verdana"/>
        </w:rPr>
      </w:pPr>
      <w:r w:rsidRPr="002112CD">
        <w:rPr>
          <w:rFonts w:ascii="Verdana" w:hAnsi="Verdana"/>
        </w:rPr>
        <w:t>Section 2.1: Progress against the workplace gender equality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80"/>
        <w:gridCol w:w="3891"/>
        <w:gridCol w:w="3626"/>
        <w:gridCol w:w="1613"/>
        <w:gridCol w:w="4678"/>
      </w:tblGrid>
      <w:tr w:rsidR="00151C88" w:rsidRPr="002112CD" w14:paraId="6CFD72DE" w14:textId="77777777" w:rsidTr="3ECC7EFB">
        <w:trPr>
          <w:tblHeader/>
        </w:trPr>
        <w:tc>
          <w:tcPr>
            <w:tcW w:w="513" w:type="pct"/>
            <w:tcBorders>
              <w:top w:val="single" w:sz="4" w:space="0" w:color="CCCCCC"/>
              <w:left w:val="single" w:sz="4" w:space="0" w:color="CCCCCC"/>
              <w:bottom w:val="single" w:sz="4" w:space="0" w:color="CCCCCC"/>
              <w:right w:val="single" w:sz="4" w:space="0" w:color="CCCCCC"/>
            </w:tcBorders>
            <w:shd w:val="clear" w:color="auto" w:fill="1F3864"/>
            <w:tcMar>
              <w:top w:w="60" w:type="dxa"/>
              <w:left w:w="100" w:type="dxa"/>
              <w:bottom w:w="60" w:type="dxa"/>
              <w:right w:w="100" w:type="dxa"/>
            </w:tcMar>
          </w:tcPr>
          <w:p w14:paraId="6CFD72D5" w14:textId="77777777" w:rsidR="00151C88" w:rsidRPr="00607914" w:rsidRDefault="000C39A1" w:rsidP="00067795">
            <w:pPr>
              <w:contextualSpacing/>
              <w:jc w:val="center"/>
              <w:rPr>
                <w:rFonts w:ascii="Verdana" w:hAnsi="Verdana"/>
              </w:rPr>
            </w:pPr>
            <w:r w:rsidRPr="00607914">
              <w:rPr>
                <w:rFonts w:ascii="Verdana" w:hAnsi="Verdana"/>
                <w:b/>
                <w:bCs/>
                <w:color w:val="FFFFFF"/>
              </w:rPr>
              <w:t>Indicator</w:t>
            </w:r>
          </w:p>
        </w:tc>
        <w:tc>
          <w:tcPr>
            <w:tcW w:w="1264" w:type="pct"/>
            <w:tcBorders>
              <w:top w:val="single" w:sz="4" w:space="0" w:color="CCCCCC"/>
              <w:left w:val="single" w:sz="4" w:space="0" w:color="CCCCCC"/>
              <w:bottom w:val="single" w:sz="4" w:space="0" w:color="CCCCCC"/>
              <w:right w:val="single" w:sz="4" w:space="0" w:color="CCCCCC"/>
            </w:tcBorders>
            <w:shd w:val="clear" w:color="auto" w:fill="1F3864"/>
            <w:tcMar>
              <w:top w:w="60" w:type="dxa"/>
              <w:left w:w="100" w:type="dxa"/>
              <w:bottom w:w="60" w:type="dxa"/>
              <w:right w:w="100" w:type="dxa"/>
            </w:tcMar>
          </w:tcPr>
          <w:p w14:paraId="6CFD72D6" w14:textId="77777777" w:rsidR="00151C88" w:rsidRPr="00607914" w:rsidRDefault="000C39A1" w:rsidP="00067795">
            <w:pPr>
              <w:contextualSpacing/>
              <w:jc w:val="center"/>
              <w:rPr>
                <w:rFonts w:ascii="Verdana" w:hAnsi="Verdana"/>
              </w:rPr>
            </w:pPr>
            <w:r w:rsidRPr="00607914">
              <w:rPr>
                <w:rFonts w:ascii="Verdana" w:hAnsi="Verdana"/>
                <w:b/>
                <w:bCs/>
                <w:color w:val="FFFFFF"/>
              </w:rPr>
              <w:t>L: Progress data</w:t>
            </w:r>
          </w:p>
          <w:p w14:paraId="6CFD72D7" w14:textId="77777777" w:rsidR="00151C88" w:rsidRPr="00607914" w:rsidRDefault="000C39A1" w:rsidP="00067795">
            <w:pPr>
              <w:contextualSpacing/>
              <w:jc w:val="center"/>
              <w:rPr>
                <w:rFonts w:ascii="Verdana" w:hAnsi="Verdana"/>
              </w:rPr>
            </w:pPr>
            <w:r w:rsidRPr="00607914">
              <w:rPr>
                <w:rFonts w:ascii="Verdana" w:hAnsi="Verdana"/>
                <w:b/>
                <w:bCs/>
                <w:color w:val="FFFFFF"/>
              </w:rPr>
              <w:t>(required)</w:t>
            </w:r>
          </w:p>
        </w:tc>
        <w:tc>
          <w:tcPr>
            <w:tcW w:w="1178" w:type="pct"/>
            <w:tcBorders>
              <w:top w:val="single" w:sz="4" w:space="0" w:color="CCCCCC"/>
              <w:left w:val="single" w:sz="4" w:space="0" w:color="CCCCCC"/>
              <w:bottom w:val="single" w:sz="4" w:space="0" w:color="CCCCCC"/>
              <w:right w:val="single" w:sz="4" w:space="0" w:color="CCCCCC"/>
            </w:tcBorders>
            <w:shd w:val="clear" w:color="auto" w:fill="1F3864"/>
            <w:tcMar>
              <w:top w:w="60" w:type="dxa"/>
              <w:left w:w="100" w:type="dxa"/>
              <w:bottom w:w="60" w:type="dxa"/>
              <w:right w:w="100" w:type="dxa"/>
            </w:tcMar>
          </w:tcPr>
          <w:p w14:paraId="6CFD72D8" w14:textId="77777777" w:rsidR="00151C88" w:rsidRPr="00DA64F2" w:rsidRDefault="000C39A1" w:rsidP="00067795">
            <w:pPr>
              <w:contextualSpacing/>
              <w:jc w:val="center"/>
              <w:rPr>
                <w:rFonts w:ascii="Verdana" w:hAnsi="Verdana"/>
                <w:sz w:val="18"/>
                <w:szCs w:val="18"/>
              </w:rPr>
            </w:pPr>
            <w:r w:rsidRPr="00DA64F2">
              <w:rPr>
                <w:rFonts w:ascii="Verdana" w:hAnsi="Verdana"/>
                <w:b/>
                <w:bCs/>
                <w:color w:val="FFFFFF"/>
                <w:sz w:val="18"/>
                <w:szCs w:val="18"/>
              </w:rPr>
              <w:t>M: Additional progress data</w:t>
            </w:r>
          </w:p>
          <w:p w14:paraId="6CFD72D9" w14:textId="77777777" w:rsidR="00151C88" w:rsidRPr="00DA64F2" w:rsidRDefault="000C39A1" w:rsidP="00067795">
            <w:pPr>
              <w:contextualSpacing/>
              <w:jc w:val="center"/>
              <w:rPr>
                <w:rFonts w:ascii="Verdana" w:hAnsi="Verdana"/>
                <w:sz w:val="18"/>
                <w:szCs w:val="18"/>
              </w:rPr>
            </w:pPr>
            <w:r w:rsidRPr="00DA64F2">
              <w:rPr>
                <w:rFonts w:ascii="Verdana" w:hAnsi="Verdana"/>
                <w:b/>
                <w:bCs/>
                <w:color w:val="FFFFFF"/>
                <w:sz w:val="18"/>
                <w:szCs w:val="18"/>
              </w:rPr>
              <w:t>(recommended)</w:t>
            </w:r>
          </w:p>
        </w:tc>
        <w:tc>
          <w:tcPr>
            <w:tcW w:w="524" w:type="pct"/>
            <w:tcBorders>
              <w:top w:val="single" w:sz="4" w:space="0" w:color="CCCCCC"/>
              <w:left w:val="single" w:sz="4" w:space="0" w:color="CCCCCC"/>
              <w:bottom w:val="single" w:sz="4" w:space="0" w:color="CCCCCC"/>
              <w:right w:val="single" w:sz="4" w:space="0" w:color="CCCCCC"/>
            </w:tcBorders>
            <w:shd w:val="clear" w:color="auto" w:fill="1F3864"/>
            <w:tcMar>
              <w:top w:w="60" w:type="dxa"/>
              <w:left w:w="100" w:type="dxa"/>
              <w:bottom w:w="60" w:type="dxa"/>
              <w:right w:w="100" w:type="dxa"/>
            </w:tcMar>
          </w:tcPr>
          <w:p w14:paraId="6CFD72DA" w14:textId="77777777" w:rsidR="00151C88" w:rsidRPr="00607914" w:rsidRDefault="000C39A1" w:rsidP="00067795">
            <w:pPr>
              <w:contextualSpacing/>
              <w:jc w:val="center"/>
              <w:rPr>
                <w:rFonts w:ascii="Verdana" w:hAnsi="Verdana"/>
              </w:rPr>
            </w:pPr>
            <w:r w:rsidRPr="00607914">
              <w:rPr>
                <w:rFonts w:ascii="Verdana" w:hAnsi="Verdana"/>
                <w:b/>
                <w:bCs/>
                <w:color w:val="FFFFFF"/>
              </w:rPr>
              <w:t>N: Progress</w:t>
            </w:r>
          </w:p>
          <w:p w14:paraId="6CFD72DB" w14:textId="77777777" w:rsidR="00151C88" w:rsidRPr="00607914" w:rsidRDefault="000C39A1" w:rsidP="00067795">
            <w:pPr>
              <w:contextualSpacing/>
              <w:jc w:val="center"/>
              <w:rPr>
                <w:rFonts w:ascii="Verdana" w:hAnsi="Verdana"/>
              </w:rPr>
            </w:pPr>
            <w:r w:rsidRPr="00607914">
              <w:rPr>
                <w:rFonts w:ascii="Verdana" w:hAnsi="Verdana"/>
                <w:b/>
                <w:bCs/>
                <w:color w:val="FFFFFF"/>
              </w:rPr>
              <w:t>made?</w:t>
            </w:r>
          </w:p>
        </w:tc>
        <w:tc>
          <w:tcPr>
            <w:tcW w:w="1520" w:type="pct"/>
            <w:tcBorders>
              <w:top w:val="single" w:sz="4" w:space="0" w:color="CCCCCC"/>
              <w:left w:val="single" w:sz="4" w:space="0" w:color="CCCCCC"/>
              <w:bottom w:val="single" w:sz="4" w:space="0" w:color="CCCCCC"/>
              <w:right w:val="single" w:sz="4" w:space="0" w:color="CCCCCC"/>
            </w:tcBorders>
            <w:shd w:val="clear" w:color="auto" w:fill="1F3864"/>
            <w:tcMar>
              <w:top w:w="60" w:type="dxa"/>
              <w:left w:w="100" w:type="dxa"/>
              <w:bottom w:w="60" w:type="dxa"/>
              <w:right w:w="100" w:type="dxa"/>
            </w:tcMar>
          </w:tcPr>
          <w:p w14:paraId="6CFD72DC" w14:textId="77777777" w:rsidR="00151C88" w:rsidRPr="00607914" w:rsidRDefault="000C39A1" w:rsidP="00067795">
            <w:pPr>
              <w:contextualSpacing/>
              <w:jc w:val="center"/>
              <w:rPr>
                <w:rFonts w:ascii="Verdana" w:hAnsi="Verdana"/>
              </w:rPr>
            </w:pPr>
            <w:r w:rsidRPr="00607914">
              <w:rPr>
                <w:rFonts w:ascii="Verdana" w:hAnsi="Verdana"/>
                <w:b/>
                <w:bCs/>
                <w:color w:val="FFFFFF"/>
              </w:rPr>
              <w:t>O: How data demonstrates</w:t>
            </w:r>
          </w:p>
          <w:p w14:paraId="6CFD72DD" w14:textId="77777777" w:rsidR="00151C88" w:rsidRPr="00607914" w:rsidRDefault="000C39A1" w:rsidP="00067795">
            <w:pPr>
              <w:contextualSpacing/>
              <w:jc w:val="center"/>
              <w:rPr>
                <w:rFonts w:ascii="Verdana" w:hAnsi="Verdana"/>
              </w:rPr>
            </w:pPr>
            <w:r w:rsidRPr="00607914">
              <w:rPr>
                <w:rFonts w:ascii="Verdana" w:hAnsi="Verdana"/>
                <w:b/>
                <w:bCs/>
                <w:color w:val="FFFFFF"/>
              </w:rPr>
              <w:t>progress (required)</w:t>
            </w:r>
          </w:p>
        </w:tc>
      </w:tr>
      <w:tr w:rsidR="00151C88" w:rsidRPr="002112CD" w14:paraId="6CFD72FC" w14:textId="77777777" w:rsidTr="3ECC7EFB">
        <w:tc>
          <w:tcPr>
            <w:tcW w:w="513" w:type="pct"/>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2DF" w14:textId="77777777" w:rsidR="00151C88" w:rsidRPr="00607914" w:rsidRDefault="000C39A1" w:rsidP="00067795">
            <w:pPr>
              <w:contextualSpacing/>
              <w:rPr>
                <w:rFonts w:ascii="Verdana" w:hAnsi="Verdana"/>
              </w:rPr>
            </w:pPr>
            <w:r w:rsidRPr="00607914">
              <w:rPr>
                <w:rFonts w:ascii="Verdana" w:hAnsi="Verdana"/>
                <w:b/>
                <w:bCs/>
                <w:color w:val="000000"/>
              </w:rPr>
              <w:t>1</w:t>
            </w:r>
          </w:p>
        </w:tc>
        <w:tc>
          <w:tcPr>
            <w:tcW w:w="1264"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1814F75A" w14:textId="742C9BBC" w:rsidR="005A67A9" w:rsidRPr="00C21F0D" w:rsidRDefault="005A67A9" w:rsidP="00067795">
            <w:pPr>
              <w:pStyle w:val="Body"/>
              <w:spacing w:after="0" w:line="240" w:lineRule="auto"/>
              <w:contextualSpacing/>
              <w:rPr>
                <w:rStyle w:val="Strong"/>
                <w:rFonts w:ascii="Verdana" w:eastAsiaTheme="minorHAnsi" w:hAnsi="Verdana"/>
                <w:b w:val="0"/>
              </w:rPr>
            </w:pPr>
            <w:r w:rsidRPr="00C21F0D">
              <w:rPr>
                <w:rFonts w:ascii="Verdana" w:hAnsi="Verdana"/>
                <w:b/>
                <w:sz w:val="20"/>
                <w:szCs w:val="20"/>
              </w:rPr>
              <w:t>Critical</w:t>
            </w:r>
            <w:r w:rsidRPr="00C21F0D">
              <w:rPr>
                <w:rStyle w:val="Strong"/>
                <w:rFonts w:ascii="Verdana" w:eastAsiaTheme="minorHAnsi" w:hAnsi="Verdana"/>
                <w:b w:val="0"/>
              </w:rPr>
              <w:t xml:space="preserve"> </w:t>
            </w:r>
            <w:r w:rsidRPr="00C21F0D">
              <w:rPr>
                <w:rStyle w:val="Strong"/>
                <w:rFonts w:ascii="Verdana" w:eastAsiaTheme="minorHAnsi" w:hAnsi="Verdana"/>
                <w:bCs w:val="0"/>
              </w:rPr>
              <w:t>performance</w:t>
            </w:r>
            <w:r w:rsidRPr="00C21F0D">
              <w:rPr>
                <w:rStyle w:val="Strong"/>
                <w:rFonts w:ascii="Verdana" w:eastAsiaTheme="minorHAnsi" w:hAnsi="Verdana"/>
                <w:b w:val="0"/>
              </w:rPr>
              <w:t xml:space="preserve"> </w:t>
            </w:r>
            <w:r w:rsidRPr="00C21F0D">
              <w:rPr>
                <w:rStyle w:val="Strong"/>
                <w:rFonts w:ascii="Verdana" w:eastAsiaTheme="minorHAnsi" w:hAnsi="Verdana"/>
              </w:rPr>
              <w:t>measures</w:t>
            </w:r>
          </w:p>
          <w:p w14:paraId="6CFD72E0" w14:textId="05735D92" w:rsidR="00151C88" w:rsidRPr="00C21F0D" w:rsidRDefault="000C39A1" w:rsidP="00067795">
            <w:pPr>
              <w:contextualSpacing/>
              <w:rPr>
                <w:rFonts w:ascii="Verdana" w:hAnsi="Verdana"/>
                <w:b/>
                <w:bCs/>
              </w:rPr>
            </w:pPr>
            <w:r w:rsidRPr="00C21F0D">
              <w:rPr>
                <w:rFonts w:ascii="Verdana" w:hAnsi="Verdana"/>
                <w:b/>
                <w:bCs/>
                <w:color w:val="000000"/>
              </w:rPr>
              <w:t>Gender composition — whole of organisation:</w:t>
            </w:r>
          </w:p>
          <w:p w14:paraId="6CFD72E1" w14:textId="704102A8" w:rsidR="00151C88" w:rsidRPr="00C21F0D" w:rsidRDefault="000C39A1" w:rsidP="3ECC7EFB">
            <w:pPr>
              <w:contextualSpacing/>
              <w:rPr>
                <w:rFonts w:ascii="Verdana" w:hAnsi="Verdana"/>
              </w:rPr>
            </w:pPr>
            <w:r w:rsidRPr="00C21F0D">
              <w:rPr>
                <w:rFonts w:ascii="Verdana" w:hAnsi="Verdana"/>
                <w:color w:val="000000" w:themeColor="text1"/>
              </w:rPr>
              <w:t>2023: Women 63.9%, Men 35.8%</w:t>
            </w:r>
            <w:r w:rsidR="003440EC" w:rsidRPr="00C21F0D">
              <w:rPr>
                <w:rFonts w:ascii="Verdana" w:hAnsi="Verdana"/>
                <w:color w:val="000000" w:themeColor="text1"/>
              </w:rPr>
              <w:t>, Self-described 0.3%</w:t>
            </w:r>
            <w:r w:rsidR="00AA44A8" w:rsidRPr="00C21F0D">
              <w:rPr>
                <w:rFonts w:ascii="Verdana" w:hAnsi="Verdana"/>
                <w:color w:val="000000" w:themeColor="text1"/>
              </w:rPr>
              <w:t>.</w:t>
            </w:r>
          </w:p>
          <w:p w14:paraId="6CFD72E3" w14:textId="090FEC7B" w:rsidR="00151C88" w:rsidRPr="00C21F0D" w:rsidRDefault="00A1547F" w:rsidP="3ECC7EFB">
            <w:pPr>
              <w:pStyle w:val="PlainText"/>
              <w:contextualSpacing/>
              <w:rPr>
                <w:rFonts w:ascii="Verdana" w:hAnsi="Verdana" w:cs="Courier New"/>
                <w:sz w:val="20"/>
                <w:szCs w:val="20"/>
              </w:rPr>
            </w:pPr>
            <w:r w:rsidRPr="00C21F0D">
              <w:rPr>
                <w:rFonts w:ascii="Verdana" w:hAnsi="Verdana"/>
                <w:color w:val="000000" w:themeColor="text1"/>
                <w:sz w:val="20"/>
                <w:szCs w:val="20"/>
              </w:rPr>
              <w:t>2</w:t>
            </w:r>
            <w:r w:rsidR="000C39A1" w:rsidRPr="00C21F0D">
              <w:rPr>
                <w:rFonts w:ascii="Verdana" w:hAnsi="Verdana"/>
                <w:color w:val="000000" w:themeColor="text1"/>
                <w:sz w:val="20"/>
                <w:szCs w:val="20"/>
              </w:rPr>
              <w:t xml:space="preserve">025: </w:t>
            </w:r>
            <w:r w:rsidR="000C39A1" w:rsidRPr="00C21F0D">
              <w:rPr>
                <w:rFonts w:ascii="Verdana" w:hAnsi="Verdana" w:cs="Courier New"/>
                <w:sz w:val="20"/>
                <w:szCs w:val="20"/>
              </w:rPr>
              <w:t>Women 63.</w:t>
            </w:r>
            <w:r w:rsidR="00AA44A8" w:rsidRPr="00C21F0D">
              <w:rPr>
                <w:rFonts w:ascii="Verdana" w:hAnsi="Verdana" w:cs="Courier New"/>
                <w:sz w:val="20"/>
                <w:szCs w:val="20"/>
              </w:rPr>
              <w:t>2</w:t>
            </w:r>
            <w:r w:rsidR="000C39A1" w:rsidRPr="00C21F0D">
              <w:rPr>
                <w:rFonts w:ascii="Verdana" w:hAnsi="Verdana" w:cs="Courier New"/>
                <w:sz w:val="20"/>
                <w:szCs w:val="20"/>
              </w:rPr>
              <w:t>%, Men 36.2%</w:t>
            </w:r>
            <w:r w:rsidR="00AA44A8" w:rsidRPr="00C21F0D">
              <w:rPr>
                <w:rFonts w:ascii="Verdana" w:hAnsi="Verdana" w:cs="Courier New"/>
                <w:sz w:val="20"/>
                <w:szCs w:val="20"/>
              </w:rPr>
              <w:t>, Self-described 0.5%</w:t>
            </w:r>
          </w:p>
          <w:p w14:paraId="6231EE56" w14:textId="77777777" w:rsidR="00A1547F" w:rsidRPr="00C21F0D" w:rsidRDefault="00A1547F" w:rsidP="00A1547F">
            <w:pPr>
              <w:pStyle w:val="PlainText"/>
              <w:contextualSpacing/>
              <w:rPr>
                <w:rFonts w:ascii="Verdana" w:hAnsi="Verdana" w:cs="Courier New"/>
                <w:sz w:val="20"/>
                <w:szCs w:val="20"/>
              </w:rPr>
            </w:pPr>
          </w:p>
          <w:p w14:paraId="6A9B3FA3" w14:textId="77777777" w:rsidR="00672D2D" w:rsidRPr="00C21F0D" w:rsidRDefault="00C923C0" w:rsidP="00067795">
            <w:pPr>
              <w:contextualSpacing/>
              <w:rPr>
                <w:rFonts w:ascii="Verdana" w:hAnsi="Verdana"/>
                <w:b/>
                <w:bCs/>
                <w:color w:val="000000"/>
              </w:rPr>
            </w:pPr>
            <w:r w:rsidRPr="00C21F0D">
              <w:rPr>
                <w:rFonts w:ascii="Verdana" w:hAnsi="Verdana"/>
                <w:b/>
                <w:bCs/>
                <w:color w:val="000000"/>
              </w:rPr>
              <w:t xml:space="preserve">Part-time workers: </w:t>
            </w:r>
          </w:p>
          <w:p w14:paraId="56652066" w14:textId="77777777" w:rsidR="00672D2D" w:rsidRPr="00C21F0D" w:rsidRDefault="00C923C0" w:rsidP="00067795">
            <w:pPr>
              <w:contextualSpacing/>
              <w:rPr>
                <w:rFonts w:ascii="Verdana" w:hAnsi="Verdana"/>
                <w:color w:val="000000"/>
              </w:rPr>
            </w:pPr>
            <w:r w:rsidRPr="00C21F0D">
              <w:rPr>
                <w:rFonts w:ascii="Verdana" w:hAnsi="Verdana"/>
                <w:color w:val="000000"/>
              </w:rPr>
              <w:t xml:space="preserve">2023: Women 58.4%, Men 58.5% </w:t>
            </w:r>
          </w:p>
          <w:p w14:paraId="6CFD72E7" w14:textId="60E543C1" w:rsidR="00151C88" w:rsidRPr="00C21F0D" w:rsidRDefault="00C923C0" w:rsidP="00067795">
            <w:pPr>
              <w:contextualSpacing/>
              <w:rPr>
                <w:rFonts w:ascii="Verdana" w:hAnsi="Verdana"/>
                <w:color w:val="000000"/>
              </w:rPr>
            </w:pPr>
            <w:r w:rsidRPr="00C21F0D">
              <w:rPr>
                <w:rFonts w:ascii="Verdana" w:hAnsi="Verdana"/>
                <w:color w:val="000000"/>
              </w:rPr>
              <w:t>2025: Women 52.4%, Men 55.9%</w:t>
            </w:r>
          </w:p>
          <w:p w14:paraId="11511577" w14:textId="77777777" w:rsidR="00C923C0" w:rsidRPr="00C21F0D" w:rsidRDefault="00C923C0" w:rsidP="00067795">
            <w:pPr>
              <w:contextualSpacing/>
              <w:rPr>
                <w:rFonts w:ascii="Verdana" w:hAnsi="Verdana"/>
              </w:rPr>
            </w:pPr>
          </w:p>
          <w:p w14:paraId="6CFD72E8" w14:textId="77777777" w:rsidR="00151C88" w:rsidRPr="00C21F0D" w:rsidRDefault="000C39A1" w:rsidP="00067795">
            <w:pPr>
              <w:contextualSpacing/>
              <w:rPr>
                <w:rFonts w:ascii="Verdana" w:hAnsi="Verdana"/>
                <w:b/>
                <w:bCs/>
                <w:color w:val="000000"/>
              </w:rPr>
            </w:pPr>
            <w:r w:rsidRPr="00C21F0D">
              <w:rPr>
                <w:rFonts w:ascii="Verdana" w:hAnsi="Verdana"/>
                <w:b/>
                <w:bCs/>
                <w:color w:val="000000"/>
              </w:rPr>
              <w:t>Senior leaders (Level -1 to CEO):</w:t>
            </w:r>
          </w:p>
          <w:p w14:paraId="3D9F7E6D" w14:textId="77777777" w:rsidR="00A1547F" w:rsidRPr="00C21F0D" w:rsidRDefault="00A1547F" w:rsidP="005271DF">
            <w:pPr>
              <w:contextualSpacing/>
              <w:rPr>
                <w:rFonts w:ascii="Verdana" w:hAnsi="Verdana"/>
                <w:color w:val="000000"/>
              </w:rPr>
            </w:pPr>
            <w:r w:rsidRPr="00C21F0D">
              <w:rPr>
                <w:rFonts w:ascii="Verdana" w:hAnsi="Verdana"/>
                <w:color w:val="000000"/>
              </w:rPr>
              <w:t xml:space="preserve">2023: Women 51.4%, Men 48.6% </w:t>
            </w:r>
          </w:p>
          <w:p w14:paraId="6CFD72E9" w14:textId="4192F3CB" w:rsidR="00151C88" w:rsidRPr="00C21F0D" w:rsidRDefault="00A1547F" w:rsidP="005271DF">
            <w:pPr>
              <w:contextualSpacing/>
              <w:rPr>
                <w:rFonts w:ascii="Verdana" w:hAnsi="Verdana"/>
              </w:rPr>
            </w:pPr>
            <w:r w:rsidRPr="00C21F0D">
              <w:rPr>
                <w:rFonts w:ascii="Verdana" w:hAnsi="Verdana"/>
                <w:color w:val="000000"/>
              </w:rPr>
              <w:t>2025: Women 25.0%, Men 75.0%</w:t>
            </w:r>
          </w:p>
        </w:tc>
        <w:tc>
          <w:tcPr>
            <w:tcW w:w="1178"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4CCF35DF" w14:textId="1C53696A" w:rsidR="00A07B84" w:rsidRPr="00D87299" w:rsidRDefault="00A07B84" w:rsidP="00A07B84">
            <w:pPr>
              <w:pStyle w:val="NoSpacing"/>
              <w:spacing w:after="240"/>
              <w:jc w:val="both"/>
              <w:rPr>
                <w:rFonts w:ascii="Verdana" w:eastAsia="Times New Roman" w:hAnsi="Verdana" w:cs="Times New Roman"/>
                <w:kern w:val="36"/>
                <w:lang w:eastAsia="en-AU"/>
              </w:rPr>
            </w:pPr>
            <w:r w:rsidRPr="00D87299">
              <w:rPr>
                <w:rFonts w:ascii="Verdana" w:eastAsia="Times New Roman" w:hAnsi="Verdana" w:cs="Times New Roman"/>
                <w:kern w:val="36"/>
                <w:lang w:eastAsia="en-AU"/>
              </w:rPr>
              <w:t xml:space="preserve">For </w:t>
            </w:r>
            <w:r w:rsidRPr="008B7D4B">
              <w:rPr>
                <w:rFonts w:ascii="Verdana" w:eastAsia="Times New Roman" w:hAnsi="Verdana" w:cs="Times New Roman"/>
                <w:kern w:val="36"/>
                <w:lang w:eastAsia="en-AU"/>
              </w:rPr>
              <w:t>privacy reasons</w:t>
            </w:r>
            <w:r w:rsidRPr="00D87299">
              <w:rPr>
                <w:rFonts w:ascii="Verdana" w:eastAsia="Times New Roman" w:hAnsi="Verdana" w:cs="Times New Roman"/>
                <w:kern w:val="36"/>
                <w:lang w:eastAsia="en-AU"/>
              </w:rPr>
              <w:t xml:space="preserve">, throughout this report, ‘women’ includes 6 employees who self-described their gender in their employee profile and the small number of people who selected non-binary or used a different term in our 2025 PMS. This does not mean we fail to recognise their gender identity. We are pleased to see increasing </w:t>
            </w:r>
            <w:r w:rsidR="00542C46">
              <w:rPr>
                <w:rFonts w:ascii="Verdana" w:eastAsia="Times New Roman" w:hAnsi="Verdana" w:cs="Times New Roman"/>
                <w:kern w:val="36"/>
                <w:lang w:eastAsia="en-AU"/>
              </w:rPr>
              <w:t>reported</w:t>
            </w:r>
            <w:r w:rsidR="0048454A">
              <w:rPr>
                <w:rFonts w:ascii="Verdana" w:eastAsia="Times New Roman" w:hAnsi="Verdana" w:cs="Times New Roman"/>
                <w:kern w:val="36"/>
                <w:lang w:eastAsia="en-AU"/>
              </w:rPr>
              <w:t xml:space="preserve"> </w:t>
            </w:r>
            <w:r w:rsidRPr="00D87299">
              <w:rPr>
                <w:rFonts w:ascii="Verdana" w:eastAsia="Times New Roman" w:hAnsi="Verdana" w:cs="Times New Roman"/>
                <w:kern w:val="36"/>
                <w:lang w:eastAsia="en-AU"/>
              </w:rPr>
              <w:t>gender diversity in our workforce to around 1% and remain committed to creating inclusive workplace environments for employees of all genders.</w:t>
            </w:r>
            <w:r w:rsidR="0022142D" w:rsidRPr="00D87299">
              <w:rPr>
                <w:rFonts w:ascii="Verdana" w:eastAsia="Times New Roman" w:hAnsi="Verdana" w:cs="Times New Roman"/>
                <w:kern w:val="36"/>
                <w:lang w:eastAsia="en-AU"/>
              </w:rPr>
              <w:t xml:space="preserve"> This means that throughout this report, women's representation is reported as 64% (699 of 1,096 employees) rather than the 63.2% shown in the Commission's audit data.</w:t>
            </w:r>
          </w:p>
          <w:p w14:paraId="5C556D5F" w14:textId="1BBB5409" w:rsidR="00FE7261" w:rsidRPr="00D87299" w:rsidRDefault="00FE7261" w:rsidP="00FE7261">
            <w:pPr>
              <w:contextualSpacing/>
              <w:rPr>
                <w:rFonts w:ascii="Verdana" w:hAnsi="Verdana"/>
                <w:b/>
                <w:bCs/>
                <w:color w:val="000000"/>
              </w:rPr>
            </w:pPr>
            <w:r w:rsidRPr="00D87299">
              <w:rPr>
                <w:rFonts w:ascii="Verdana" w:hAnsi="Verdana"/>
                <w:b/>
                <w:bCs/>
                <w:color w:val="000000"/>
              </w:rPr>
              <w:t xml:space="preserve">Workforce composition by occupational group: </w:t>
            </w:r>
          </w:p>
          <w:p w14:paraId="02776618" w14:textId="5EB923CC" w:rsidR="00CD5C1F" w:rsidRPr="00D87299" w:rsidRDefault="00040762" w:rsidP="00CD5C1F">
            <w:pPr>
              <w:contextualSpacing/>
              <w:rPr>
                <w:rFonts w:ascii="Verdana" w:hAnsi="Verdana"/>
              </w:rPr>
            </w:pPr>
            <w:r>
              <w:rPr>
                <w:rFonts w:ascii="Verdana" w:hAnsi="Verdana"/>
                <w:color w:val="000000"/>
              </w:rPr>
              <w:t>Allied Health</w:t>
            </w:r>
            <w:r w:rsidR="00CD5C1F" w:rsidRPr="00D87299">
              <w:rPr>
                <w:rFonts w:ascii="Verdana" w:hAnsi="Verdana"/>
                <w:color w:val="000000"/>
              </w:rPr>
              <w:t>: 77% W / 23% M (n=162)</w:t>
            </w:r>
          </w:p>
          <w:p w14:paraId="268FB95D" w14:textId="77777777" w:rsidR="00512190" w:rsidRDefault="00FE7261" w:rsidP="3ECC7EFB">
            <w:pPr>
              <w:contextualSpacing/>
              <w:rPr>
                <w:rFonts w:ascii="Verdana" w:hAnsi="Verdana"/>
                <w:color w:val="000000" w:themeColor="text1"/>
              </w:rPr>
            </w:pPr>
            <w:r w:rsidRPr="00D87299">
              <w:rPr>
                <w:rFonts w:ascii="Verdana" w:hAnsi="Verdana"/>
                <w:color w:val="000000" w:themeColor="text1"/>
              </w:rPr>
              <w:t xml:space="preserve">Medical: 39% women, 61% men (n=400) </w:t>
            </w:r>
          </w:p>
          <w:p w14:paraId="54996F06" w14:textId="77777777" w:rsidR="00512190" w:rsidRDefault="00FE7261" w:rsidP="3ECC7EFB">
            <w:pPr>
              <w:contextualSpacing/>
              <w:rPr>
                <w:rFonts w:ascii="Verdana" w:hAnsi="Verdana"/>
                <w:color w:val="000000" w:themeColor="text1"/>
              </w:rPr>
            </w:pPr>
            <w:r w:rsidRPr="00D87299">
              <w:rPr>
                <w:rFonts w:ascii="Verdana" w:hAnsi="Verdana"/>
                <w:color w:val="000000" w:themeColor="text1"/>
              </w:rPr>
              <w:t xml:space="preserve">Nursing: 88% women, 13% men (n=304) </w:t>
            </w:r>
          </w:p>
          <w:p w14:paraId="335F3A14" w14:textId="72C6EDB0" w:rsidR="00FE7261" w:rsidRPr="00D87299" w:rsidRDefault="00FE7261" w:rsidP="3ECC7EFB">
            <w:pPr>
              <w:contextualSpacing/>
              <w:rPr>
                <w:rFonts w:ascii="Verdana" w:hAnsi="Verdana"/>
                <w:color w:val="000000"/>
              </w:rPr>
            </w:pPr>
            <w:r w:rsidRPr="00D87299">
              <w:rPr>
                <w:rFonts w:ascii="Verdana" w:hAnsi="Verdana"/>
                <w:color w:val="000000" w:themeColor="text1"/>
              </w:rPr>
              <w:t>Non-Clinical: 67% women, 33% men (n=23</w:t>
            </w:r>
            <w:r w:rsidR="5E0C63CB" w:rsidRPr="00D87299">
              <w:rPr>
                <w:rFonts w:ascii="Verdana" w:hAnsi="Verdana"/>
                <w:color w:val="000000" w:themeColor="text1"/>
              </w:rPr>
              <w:t>0</w:t>
            </w:r>
            <w:r w:rsidRPr="00D87299">
              <w:rPr>
                <w:rFonts w:ascii="Verdana" w:hAnsi="Verdana"/>
                <w:color w:val="000000" w:themeColor="text1"/>
              </w:rPr>
              <w:t>)</w:t>
            </w:r>
          </w:p>
          <w:p w14:paraId="5CF49F0A" w14:textId="77777777" w:rsidR="00FE7261" w:rsidRPr="00D87299" w:rsidRDefault="00FE7261" w:rsidP="00FE7261">
            <w:pPr>
              <w:contextualSpacing/>
              <w:rPr>
                <w:rFonts w:ascii="Verdana" w:hAnsi="Verdana"/>
                <w:color w:val="000000"/>
              </w:rPr>
            </w:pPr>
          </w:p>
          <w:p w14:paraId="474F9C02" w14:textId="77777777" w:rsidR="00FE7261" w:rsidRPr="00D87299" w:rsidRDefault="00FE7261" w:rsidP="00FE7261">
            <w:pPr>
              <w:contextualSpacing/>
              <w:rPr>
                <w:rFonts w:ascii="Verdana" w:hAnsi="Verdana"/>
                <w:b/>
                <w:bCs/>
                <w:color w:val="000000"/>
              </w:rPr>
            </w:pPr>
            <w:r w:rsidRPr="00D87299">
              <w:rPr>
                <w:rFonts w:ascii="Verdana" w:hAnsi="Verdana"/>
                <w:b/>
                <w:bCs/>
                <w:color w:val="000000"/>
              </w:rPr>
              <w:t>Level to CEO:</w:t>
            </w:r>
          </w:p>
          <w:p w14:paraId="2215DBFA" w14:textId="77777777" w:rsidR="009670DF" w:rsidRPr="00D87299" w:rsidRDefault="00FE7261" w:rsidP="00FE7261">
            <w:pPr>
              <w:contextualSpacing/>
              <w:rPr>
                <w:rFonts w:ascii="Verdana" w:hAnsi="Verdana"/>
                <w:color w:val="000000"/>
              </w:rPr>
            </w:pPr>
            <w:r w:rsidRPr="00D87299">
              <w:rPr>
                <w:rFonts w:ascii="Verdana" w:hAnsi="Verdana"/>
                <w:color w:val="000000"/>
              </w:rPr>
              <w:t xml:space="preserve">0% women (1 position) </w:t>
            </w:r>
          </w:p>
          <w:p w14:paraId="3C004C47" w14:textId="1035C2D0" w:rsidR="009670DF" w:rsidRPr="00D87299" w:rsidRDefault="00FE7261" w:rsidP="00FE7261">
            <w:pPr>
              <w:contextualSpacing/>
              <w:rPr>
                <w:rFonts w:ascii="Verdana" w:hAnsi="Verdana"/>
                <w:color w:val="000000"/>
              </w:rPr>
            </w:pPr>
            <w:r w:rsidRPr="00D87299">
              <w:rPr>
                <w:rFonts w:ascii="Verdana" w:hAnsi="Verdana"/>
                <w:color w:val="000000"/>
              </w:rPr>
              <w:lastRenderedPageBreak/>
              <w:t xml:space="preserve">Level -1 (Executive): 33% women (1W, 2M) </w:t>
            </w:r>
          </w:p>
          <w:p w14:paraId="77F4E920" w14:textId="77777777" w:rsidR="009670DF" w:rsidRPr="00D87299" w:rsidRDefault="00FE7261" w:rsidP="00FE7261">
            <w:pPr>
              <w:contextualSpacing/>
              <w:rPr>
                <w:rFonts w:ascii="Verdana" w:hAnsi="Verdana"/>
                <w:color w:val="000000"/>
              </w:rPr>
            </w:pPr>
            <w:r w:rsidRPr="00D87299">
              <w:rPr>
                <w:rFonts w:ascii="Verdana" w:hAnsi="Verdana"/>
                <w:color w:val="000000"/>
              </w:rPr>
              <w:t xml:space="preserve">Level -2 (Senior Management): 65% women (13W, 7M) </w:t>
            </w:r>
          </w:p>
          <w:p w14:paraId="6743F225" w14:textId="727B1C2D" w:rsidR="00FE7261" w:rsidRPr="00D87299" w:rsidRDefault="00FE7261" w:rsidP="00FE7261">
            <w:pPr>
              <w:contextualSpacing/>
              <w:rPr>
                <w:rFonts w:ascii="Verdana" w:hAnsi="Verdana"/>
                <w:color w:val="000000"/>
              </w:rPr>
            </w:pPr>
            <w:r w:rsidRPr="00D87299">
              <w:rPr>
                <w:rFonts w:ascii="Verdana" w:hAnsi="Verdana"/>
                <w:color w:val="000000"/>
              </w:rPr>
              <w:t>Level -3 (Medical Specialists): 38% women (285 positions)</w:t>
            </w:r>
          </w:p>
          <w:p w14:paraId="0A1E17A5" w14:textId="77777777" w:rsidR="00FE7261" w:rsidRPr="00D87299" w:rsidRDefault="00FE7261" w:rsidP="00FE7261">
            <w:pPr>
              <w:contextualSpacing/>
              <w:rPr>
                <w:rFonts w:ascii="Verdana" w:hAnsi="Verdana"/>
                <w:color w:val="000000"/>
              </w:rPr>
            </w:pPr>
          </w:p>
          <w:p w14:paraId="7CBAF5CB" w14:textId="6EEB71B1" w:rsidR="00FE7261" w:rsidRPr="00D87299" w:rsidRDefault="00FE7261" w:rsidP="00FE7261">
            <w:pPr>
              <w:contextualSpacing/>
              <w:rPr>
                <w:rFonts w:ascii="Verdana" w:hAnsi="Verdana"/>
                <w:color w:val="000000"/>
              </w:rPr>
            </w:pPr>
            <w:r w:rsidRPr="00D87299">
              <w:rPr>
                <w:rFonts w:ascii="Verdana" w:hAnsi="Verdana"/>
                <w:color w:val="000000"/>
              </w:rPr>
              <w:t xml:space="preserve">The Commission uses Level -1 to CEO (three roles) to assess senior leadership composition, with women's representation falling from </w:t>
            </w:r>
            <w:r w:rsidR="00AF6463" w:rsidRPr="00D87299">
              <w:rPr>
                <w:rFonts w:ascii="Verdana" w:hAnsi="Verdana"/>
                <w:color w:val="000000"/>
              </w:rPr>
              <w:t>50% to 33% during the reporting period, however an appointment to a vacancy since the audit date brings representation back to 50%.</w:t>
            </w:r>
            <w:r w:rsidR="00512190">
              <w:rPr>
                <w:rFonts w:ascii="Verdana" w:hAnsi="Verdana"/>
                <w:color w:val="000000"/>
              </w:rPr>
              <w:t xml:space="preserve"> </w:t>
            </w:r>
            <w:r w:rsidRPr="00D87299">
              <w:rPr>
                <w:rFonts w:ascii="Verdana" w:hAnsi="Verdana"/>
                <w:color w:val="000000"/>
              </w:rPr>
              <w:t xml:space="preserve">Women comprise 65% at Level -2. </w:t>
            </w:r>
          </w:p>
          <w:p w14:paraId="08D6AAC4" w14:textId="77777777" w:rsidR="00FE7261" w:rsidRPr="00D87299" w:rsidRDefault="00FE7261" w:rsidP="00FE7261">
            <w:pPr>
              <w:contextualSpacing/>
              <w:rPr>
                <w:rFonts w:ascii="Verdana" w:hAnsi="Verdana"/>
                <w:b/>
                <w:bCs/>
                <w:color w:val="000000"/>
              </w:rPr>
            </w:pPr>
          </w:p>
          <w:p w14:paraId="7C08F348" w14:textId="67883641" w:rsidR="00FE7261" w:rsidRPr="00D87299" w:rsidRDefault="00FE7261" w:rsidP="3ECC7EFB">
            <w:pPr>
              <w:contextualSpacing/>
              <w:rPr>
                <w:rFonts w:ascii="Verdana" w:hAnsi="Verdana"/>
                <w:b/>
                <w:bCs/>
                <w:color w:val="000000"/>
              </w:rPr>
            </w:pPr>
            <w:r w:rsidRPr="00D87299">
              <w:rPr>
                <w:rFonts w:ascii="Verdana" w:hAnsi="Verdana"/>
                <w:b/>
                <w:bCs/>
                <w:color w:val="000000" w:themeColor="text1"/>
              </w:rPr>
              <w:t xml:space="preserve">Under-35 pipeline (women's share): </w:t>
            </w:r>
          </w:p>
          <w:p w14:paraId="4670A4DC" w14:textId="5E864A49" w:rsidR="00FE7261" w:rsidRPr="00D87299" w:rsidRDefault="00FE7261" w:rsidP="00FE7261">
            <w:pPr>
              <w:contextualSpacing/>
              <w:rPr>
                <w:rFonts w:ascii="Verdana" w:hAnsi="Verdana"/>
                <w:color w:val="000000"/>
              </w:rPr>
            </w:pPr>
            <w:r w:rsidRPr="00D87299">
              <w:rPr>
                <w:rFonts w:ascii="Verdana" w:hAnsi="Verdana"/>
                <w:color w:val="000000"/>
              </w:rPr>
              <w:t>Medical:</w:t>
            </w:r>
            <w:r w:rsidR="00DF0B23" w:rsidRPr="00D87299">
              <w:rPr>
                <w:rFonts w:ascii="Verdana" w:hAnsi="Verdana"/>
                <w:color w:val="000000"/>
              </w:rPr>
              <w:t xml:space="preserve"> 39% (above 31% in the 55+ cohort, showing pipeline improvement)</w:t>
            </w:r>
          </w:p>
          <w:p w14:paraId="76888061" w14:textId="3AF6DF8F" w:rsidR="00FE7261" w:rsidRPr="00D87299" w:rsidRDefault="00040762" w:rsidP="00FE7261">
            <w:pPr>
              <w:contextualSpacing/>
              <w:rPr>
                <w:rFonts w:ascii="Verdana" w:hAnsi="Verdana"/>
                <w:color w:val="000000"/>
              </w:rPr>
            </w:pPr>
            <w:r>
              <w:rPr>
                <w:rFonts w:ascii="Verdana" w:hAnsi="Verdana"/>
                <w:color w:val="000000"/>
              </w:rPr>
              <w:t>Allied Health</w:t>
            </w:r>
            <w:r w:rsidR="00FE7261" w:rsidRPr="00D87299">
              <w:rPr>
                <w:rFonts w:ascii="Verdana" w:hAnsi="Verdana"/>
                <w:color w:val="000000"/>
              </w:rPr>
              <w:t xml:space="preserve">: 92% (above 77% group average), though a mid-career barrier exists with women's representation dropping from 90% at Level -8 to 48% at Level -9, warranting targeted investigation in the next GEAP </w:t>
            </w:r>
          </w:p>
          <w:p w14:paraId="63A23477" w14:textId="77777777" w:rsidR="00FE7261" w:rsidRPr="00D87299" w:rsidRDefault="00FE7261" w:rsidP="00FE7261">
            <w:pPr>
              <w:contextualSpacing/>
              <w:rPr>
                <w:rFonts w:ascii="Verdana" w:hAnsi="Verdana"/>
                <w:color w:val="000000"/>
              </w:rPr>
            </w:pPr>
            <w:r w:rsidRPr="00D87299">
              <w:rPr>
                <w:rFonts w:ascii="Verdana" w:hAnsi="Verdana"/>
                <w:color w:val="000000"/>
              </w:rPr>
              <w:t xml:space="preserve">Non-Clinical: 71% (above 67% group average) </w:t>
            </w:r>
          </w:p>
          <w:p w14:paraId="2B745E30" w14:textId="6DB2137B" w:rsidR="00FE7261" w:rsidRPr="00D87299" w:rsidRDefault="00FE7261" w:rsidP="00FE7261">
            <w:pPr>
              <w:contextualSpacing/>
              <w:rPr>
                <w:rFonts w:ascii="Verdana" w:hAnsi="Verdana"/>
                <w:color w:val="000000"/>
              </w:rPr>
            </w:pPr>
            <w:r w:rsidRPr="00D87299">
              <w:rPr>
                <w:rFonts w:ascii="Verdana" w:hAnsi="Verdana"/>
                <w:color w:val="000000"/>
              </w:rPr>
              <w:t>Nursing: 90% (stable, consistent feminisation)</w:t>
            </w:r>
          </w:p>
          <w:p w14:paraId="6CFD72F9" w14:textId="2A4E3194" w:rsidR="00151C88" w:rsidRPr="00D87299" w:rsidRDefault="00151C88" w:rsidP="00067795">
            <w:pPr>
              <w:contextualSpacing/>
              <w:rPr>
                <w:rFonts w:ascii="Verdana" w:hAnsi="Verdana"/>
              </w:rPr>
            </w:pPr>
          </w:p>
        </w:tc>
        <w:tc>
          <w:tcPr>
            <w:tcW w:w="524" w:type="pct"/>
            <w:tcBorders>
              <w:top w:val="single" w:sz="4" w:space="0" w:color="CCCCCC"/>
              <w:left w:val="single" w:sz="4" w:space="0" w:color="CCCCCC"/>
              <w:bottom w:val="single" w:sz="4" w:space="0" w:color="CCCCCC"/>
              <w:right w:val="single" w:sz="4" w:space="0" w:color="CCCCCC"/>
            </w:tcBorders>
            <w:shd w:val="clear" w:color="auto" w:fill="E2EFDA"/>
            <w:tcMar>
              <w:top w:w="60" w:type="dxa"/>
              <w:left w:w="100" w:type="dxa"/>
              <w:bottom w:w="60" w:type="dxa"/>
              <w:right w:w="100" w:type="dxa"/>
            </w:tcMar>
          </w:tcPr>
          <w:p w14:paraId="6CFD72FA" w14:textId="77777777" w:rsidR="00151C88" w:rsidRPr="00607914" w:rsidRDefault="000C39A1" w:rsidP="00067795">
            <w:pPr>
              <w:contextualSpacing/>
              <w:jc w:val="center"/>
              <w:rPr>
                <w:rFonts w:ascii="Verdana" w:hAnsi="Verdana"/>
              </w:rPr>
            </w:pPr>
            <w:r w:rsidRPr="00607914">
              <w:rPr>
                <w:rFonts w:ascii="Verdana" w:hAnsi="Verdana"/>
                <w:b/>
                <w:bCs/>
                <w:color w:val="000000"/>
              </w:rPr>
              <w:lastRenderedPageBreak/>
              <w:t>Yes</w:t>
            </w:r>
          </w:p>
        </w:tc>
        <w:tc>
          <w:tcPr>
            <w:tcW w:w="1520"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13E6FC41" w14:textId="48600C8E" w:rsidR="00C26F37" w:rsidRPr="00607914" w:rsidRDefault="00C26F37" w:rsidP="00C26F37">
            <w:pPr>
              <w:pStyle w:val="PlainText"/>
              <w:contextualSpacing/>
              <w:rPr>
                <w:rFonts w:ascii="Verdana" w:hAnsi="Verdana"/>
                <w:sz w:val="20"/>
                <w:szCs w:val="20"/>
              </w:rPr>
            </w:pPr>
            <w:r w:rsidRPr="00607914">
              <w:rPr>
                <w:rFonts w:ascii="Verdana" w:hAnsi="Verdana"/>
                <w:sz w:val="20"/>
                <w:szCs w:val="20"/>
              </w:rPr>
              <w:t xml:space="preserve">Overall workforce composition remained stable at 64% women and 36% men, which in a low-turnover organisation with </w:t>
            </w:r>
            <w:r w:rsidR="00C663F6">
              <w:rPr>
                <w:rFonts w:ascii="Verdana" w:hAnsi="Verdana"/>
                <w:sz w:val="20"/>
                <w:szCs w:val="20"/>
              </w:rPr>
              <w:t>sta</w:t>
            </w:r>
            <w:r w:rsidR="00FD6D5A">
              <w:rPr>
                <w:rFonts w:ascii="Verdana" w:hAnsi="Verdana"/>
                <w:sz w:val="20"/>
                <w:szCs w:val="20"/>
              </w:rPr>
              <w:t xml:space="preserve">ble headcount </w:t>
            </w:r>
            <w:r w:rsidRPr="00607914">
              <w:rPr>
                <w:rFonts w:ascii="Verdana" w:hAnsi="Verdana"/>
                <w:sz w:val="20"/>
                <w:szCs w:val="20"/>
              </w:rPr>
              <w:t xml:space="preserve">represents successful maintenance of gender balance. </w:t>
            </w:r>
          </w:p>
          <w:p w14:paraId="774AA026" w14:textId="77777777" w:rsidR="00C26F37" w:rsidRPr="00607914" w:rsidRDefault="00C26F37" w:rsidP="00C26F37">
            <w:pPr>
              <w:pStyle w:val="PlainText"/>
              <w:contextualSpacing/>
              <w:rPr>
                <w:rFonts w:ascii="Verdana" w:hAnsi="Verdana"/>
                <w:sz w:val="20"/>
                <w:szCs w:val="20"/>
              </w:rPr>
            </w:pPr>
          </w:p>
          <w:p w14:paraId="0E7E023F" w14:textId="0CA985CA" w:rsidR="00C26F37" w:rsidRPr="00607914" w:rsidRDefault="00C26F37" w:rsidP="00C26F37">
            <w:pPr>
              <w:pStyle w:val="PlainText"/>
              <w:contextualSpacing/>
              <w:rPr>
                <w:rFonts w:ascii="Verdana" w:hAnsi="Verdana"/>
                <w:sz w:val="20"/>
                <w:szCs w:val="20"/>
              </w:rPr>
            </w:pPr>
            <w:r w:rsidRPr="00607914">
              <w:rPr>
                <w:rFonts w:ascii="Verdana" w:hAnsi="Verdana"/>
                <w:sz w:val="20"/>
                <w:szCs w:val="20"/>
              </w:rPr>
              <w:t>Six employees self-described their gender, an increase from 2023 with two recruited during the reporting period, reflecting growing confidence in disclosing gender identity beyond binary categories. While these employees cannot yet be included in this analysis</w:t>
            </w:r>
            <w:r w:rsidR="004F64EA">
              <w:rPr>
                <w:rFonts w:ascii="Verdana" w:hAnsi="Verdana"/>
                <w:sz w:val="20"/>
                <w:szCs w:val="20"/>
              </w:rPr>
              <w:t xml:space="preserve"> due to small cohort size</w:t>
            </w:r>
            <w:r w:rsidRPr="00607914">
              <w:rPr>
                <w:rFonts w:ascii="Verdana" w:hAnsi="Verdana"/>
                <w:sz w:val="20"/>
                <w:szCs w:val="20"/>
              </w:rPr>
              <w:t xml:space="preserve">, </w:t>
            </w:r>
            <w:r w:rsidR="000F0B8D">
              <w:rPr>
                <w:rFonts w:ascii="Verdana" w:hAnsi="Verdana"/>
                <w:sz w:val="20"/>
                <w:szCs w:val="20"/>
              </w:rPr>
              <w:t>the Eye and Ear</w:t>
            </w:r>
            <w:r w:rsidRPr="00607914">
              <w:rPr>
                <w:rFonts w:ascii="Verdana" w:hAnsi="Verdana"/>
                <w:sz w:val="20"/>
                <w:szCs w:val="20"/>
              </w:rPr>
              <w:t xml:space="preserve"> </w:t>
            </w:r>
            <w:proofErr w:type="gramStart"/>
            <w:r w:rsidRPr="00607914">
              <w:rPr>
                <w:rFonts w:ascii="Verdana" w:hAnsi="Verdana"/>
                <w:sz w:val="20"/>
                <w:szCs w:val="20"/>
              </w:rPr>
              <w:t>is</w:t>
            </w:r>
            <w:proofErr w:type="gramEnd"/>
            <w:r w:rsidRPr="00607914">
              <w:rPr>
                <w:rFonts w:ascii="Verdana" w:hAnsi="Verdana"/>
                <w:sz w:val="20"/>
                <w:szCs w:val="20"/>
              </w:rPr>
              <w:t xml:space="preserve"> working toward incorporating non-binary gender data into future reporting and considers the increase </w:t>
            </w:r>
            <w:r w:rsidR="00D85511">
              <w:rPr>
                <w:rFonts w:ascii="Verdana" w:hAnsi="Verdana"/>
                <w:sz w:val="20"/>
                <w:szCs w:val="20"/>
              </w:rPr>
              <w:t xml:space="preserve">as </w:t>
            </w:r>
            <w:r w:rsidRPr="00607914">
              <w:rPr>
                <w:rFonts w:ascii="Verdana" w:hAnsi="Verdana"/>
                <w:sz w:val="20"/>
                <w:szCs w:val="20"/>
              </w:rPr>
              <w:t>evidence of cultural progress.</w:t>
            </w:r>
          </w:p>
          <w:p w14:paraId="5754DB69" w14:textId="77777777" w:rsidR="00C26F37" w:rsidRPr="00607914" w:rsidRDefault="00C26F37" w:rsidP="00C26F37">
            <w:pPr>
              <w:pStyle w:val="PlainText"/>
              <w:contextualSpacing/>
              <w:rPr>
                <w:rFonts w:ascii="Verdana" w:hAnsi="Verdana"/>
                <w:sz w:val="20"/>
                <w:szCs w:val="20"/>
              </w:rPr>
            </w:pPr>
          </w:p>
          <w:p w14:paraId="1328DD04" w14:textId="0BEF0DC0" w:rsidR="00C26F37" w:rsidRPr="00607914" w:rsidRDefault="00C26F37" w:rsidP="00C26F37">
            <w:pPr>
              <w:pStyle w:val="PlainText"/>
              <w:contextualSpacing/>
              <w:rPr>
                <w:rFonts w:ascii="Verdana" w:hAnsi="Verdana"/>
                <w:sz w:val="20"/>
                <w:szCs w:val="20"/>
              </w:rPr>
            </w:pPr>
            <w:r w:rsidRPr="00607914">
              <w:rPr>
                <w:rFonts w:ascii="Verdana" w:hAnsi="Verdana"/>
                <w:sz w:val="20"/>
                <w:szCs w:val="20"/>
              </w:rPr>
              <w:t xml:space="preserve">Women's executive </w:t>
            </w:r>
            <w:r w:rsidR="009C26BF">
              <w:rPr>
                <w:rFonts w:ascii="Verdana" w:hAnsi="Verdana"/>
                <w:sz w:val="20"/>
                <w:szCs w:val="20"/>
              </w:rPr>
              <w:t xml:space="preserve">team </w:t>
            </w:r>
            <w:r w:rsidRPr="00607914">
              <w:rPr>
                <w:rFonts w:ascii="Verdana" w:hAnsi="Verdana"/>
                <w:sz w:val="20"/>
                <w:szCs w:val="20"/>
              </w:rPr>
              <w:t xml:space="preserve">representation </w:t>
            </w:r>
            <w:r w:rsidR="00BA76A8">
              <w:rPr>
                <w:rFonts w:ascii="Verdana" w:hAnsi="Verdana"/>
                <w:sz w:val="20"/>
                <w:szCs w:val="20"/>
              </w:rPr>
              <w:t>decreased</w:t>
            </w:r>
            <w:r w:rsidR="00BA76A8" w:rsidRPr="00607914">
              <w:rPr>
                <w:rFonts w:ascii="Verdana" w:hAnsi="Verdana"/>
                <w:sz w:val="20"/>
                <w:szCs w:val="20"/>
              </w:rPr>
              <w:t xml:space="preserve"> </w:t>
            </w:r>
            <w:r w:rsidRPr="00607914">
              <w:rPr>
                <w:rFonts w:ascii="Verdana" w:hAnsi="Verdana"/>
                <w:sz w:val="20"/>
                <w:szCs w:val="20"/>
              </w:rPr>
              <w:t xml:space="preserve">from </w:t>
            </w:r>
            <w:r w:rsidR="00BA76A8">
              <w:rPr>
                <w:rFonts w:ascii="Verdana" w:hAnsi="Verdana"/>
                <w:sz w:val="20"/>
                <w:szCs w:val="20"/>
              </w:rPr>
              <w:t>50</w:t>
            </w:r>
            <w:r w:rsidRPr="00607914">
              <w:rPr>
                <w:rFonts w:ascii="Verdana" w:hAnsi="Verdana"/>
                <w:sz w:val="20"/>
                <w:szCs w:val="20"/>
              </w:rPr>
              <w:t xml:space="preserve">% to 33% at Level -1 during the reporting period, with a further appointment since the audit bringing representation </w:t>
            </w:r>
            <w:r w:rsidR="00BA76A8">
              <w:rPr>
                <w:rFonts w:ascii="Verdana" w:hAnsi="Verdana"/>
                <w:sz w:val="20"/>
                <w:szCs w:val="20"/>
              </w:rPr>
              <w:t xml:space="preserve">back </w:t>
            </w:r>
            <w:r w:rsidRPr="00607914">
              <w:rPr>
                <w:rFonts w:ascii="Verdana" w:hAnsi="Verdana"/>
                <w:sz w:val="20"/>
                <w:szCs w:val="20"/>
              </w:rPr>
              <w:t>to 50%. Women comprise 65% at Level -2. Part-time work rates have converged across genders (women 52%, men 56%), and occupational group analysis has established that high part-time and casual rates in clinical groups reflect deliberate operational design rather than employment insecurity.</w:t>
            </w:r>
          </w:p>
          <w:p w14:paraId="4DBCD7D5" w14:textId="77777777" w:rsidR="00C26F37" w:rsidRPr="00607914" w:rsidRDefault="00C26F37" w:rsidP="00C26F37">
            <w:pPr>
              <w:pStyle w:val="PlainText"/>
              <w:contextualSpacing/>
              <w:rPr>
                <w:rFonts w:ascii="Verdana" w:hAnsi="Verdana"/>
                <w:sz w:val="20"/>
                <w:szCs w:val="20"/>
              </w:rPr>
            </w:pPr>
          </w:p>
          <w:p w14:paraId="7D544D7A" w14:textId="192FAD2B" w:rsidR="00C26F37" w:rsidRPr="00607914" w:rsidRDefault="000F0B8D" w:rsidP="00C26F37">
            <w:pPr>
              <w:pStyle w:val="PlainText"/>
              <w:contextualSpacing/>
              <w:rPr>
                <w:rFonts w:ascii="Verdana" w:hAnsi="Verdana"/>
                <w:sz w:val="20"/>
                <w:szCs w:val="20"/>
              </w:rPr>
            </w:pPr>
            <w:r>
              <w:rPr>
                <w:rFonts w:ascii="Verdana" w:hAnsi="Verdana"/>
                <w:sz w:val="20"/>
                <w:szCs w:val="20"/>
              </w:rPr>
              <w:t>The Eye and Ear</w:t>
            </w:r>
            <w:r w:rsidR="00C26F37" w:rsidRPr="00607914">
              <w:rPr>
                <w:rFonts w:ascii="Verdana" w:hAnsi="Verdana"/>
                <w:sz w:val="20"/>
                <w:szCs w:val="20"/>
              </w:rPr>
              <w:t xml:space="preserve"> </w:t>
            </w:r>
            <w:proofErr w:type="gramStart"/>
            <w:r w:rsidR="00C26F37" w:rsidRPr="00607914">
              <w:rPr>
                <w:rFonts w:ascii="Verdana" w:hAnsi="Verdana"/>
                <w:sz w:val="20"/>
                <w:szCs w:val="20"/>
              </w:rPr>
              <w:t>has</w:t>
            </w:r>
            <w:proofErr w:type="gramEnd"/>
            <w:r w:rsidR="00C26F37" w:rsidRPr="00607914">
              <w:rPr>
                <w:rFonts w:ascii="Verdana" w:hAnsi="Verdana"/>
                <w:sz w:val="20"/>
                <w:szCs w:val="20"/>
              </w:rPr>
              <w:t xml:space="preserve"> built analytical frameworks disaggregating workforce data by occupational group, identifying improving gender balance in younger </w:t>
            </w:r>
            <w:r w:rsidR="00C26F37" w:rsidRPr="00607914">
              <w:rPr>
                <w:rFonts w:ascii="Verdana" w:hAnsi="Verdana"/>
                <w:sz w:val="20"/>
                <w:szCs w:val="20"/>
              </w:rPr>
              <w:lastRenderedPageBreak/>
              <w:t>medical cohorts (</w:t>
            </w:r>
            <w:r w:rsidR="00D268E3">
              <w:rPr>
                <w:rFonts w:ascii="Verdana" w:hAnsi="Verdana"/>
                <w:sz w:val="20"/>
                <w:szCs w:val="20"/>
              </w:rPr>
              <w:t>39</w:t>
            </w:r>
            <w:r w:rsidR="00C26F37" w:rsidRPr="00607914">
              <w:rPr>
                <w:rFonts w:ascii="Verdana" w:hAnsi="Verdana"/>
                <w:sz w:val="20"/>
                <w:szCs w:val="20"/>
              </w:rPr>
              <w:t xml:space="preserve">% women under 35 </w:t>
            </w:r>
            <w:r w:rsidR="652997E1" w:rsidRPr="7501B74D">
              <w:rPr>
                <w:rFonts w:ascii="Verdana" w:hAnsi="Verdana"/>
                <w:sz w:val="20"/>
                <w:szCs w:val="20"/>
              </w:rPr>
              <w:t xml:space="preserve">years of age </w:t>
            </w:r>
            <w:r w:rsidR="00C26F37" w:rsidRPr="00607914">
              <w:rPr>
                <w:rFonts w:ascii="Verdana" w:hAnsi="Verdana"/>
                <w:sz w:val="20"/>
                <w:szCs w:val="20"/>
              </w:rPr>
              <w:t>compared with 31% aged 55+)</w:t>
            </w:r>
            <w:r w:rsidR="00D873BE">
              <w:rPr>
                <w:rFonts w:ascii="Verdana" w:hAnsi="Verdana"/>
                <w:sz w:val="20"/>
                <w:szCs w:val="20"/>
              </w:rPr>
              <w:t xml:space="preserve">. </w:t>
            </w:r>
            <w:r w:rsidR="00C26F37" w:rsidRPr="00607914">
              <w:rPr>
                <w:rFonts w:ascii="Verdana" w:hAnsi="Verdana"/>
                <w:sz w:val="20"/>
                <w:szCs w:val="20"/>
              </w:rPr>
              <w:t xml:space="preserve">Non-Clinical </w:t>
            </w:r>
            <w:r w:rsidR="003F6483">
              <w:rPr>
                <w:rFonts w:ascii="Verdana" w:hAnsi="Verdana"/>
                <w:sz w:val="20"/>
                <w:szCs w:val="20"/>
              </w:rPr>
              <w:t>is</w:t>
            </w:r>
            <w:r w:rsidR="00C26F37" w:rsidRPr="00607914">
              <w:rPr>
                <w:rFonts w:ascii="Verdana" w:hAnsi="Verdana"/>
                <w:sz w:val="20"/>
                <w:szCs w:val="20"/>
              </w:rPr>
              <w:t xml:space="preserve"> the priority area for targeted intervention (24-percentage-point gap in full-time ongoing access, declining women's representation at senior levels), and </w:t>
            </w:r>
            <w:r w:rsidR="00040762">
              <w:rPr>
                <w:rFonts w:ascii="Verdana" w:hAnsi="Verdana"/>
                <w:sz w:val="20"/>
                <w:szCs w:val="20"/>
              </w:rPr>
              <w:t>Allied Health</w:t>
            </w:r>
            <w:r w:rsidR="00C26F37" w:rsidRPr="00607914">
              <w:rPr>
                <w:rFonts w:ascii="Verdana" w:hAnsi="Verdana"/>
                <w:sz w:val="20"/>
                <w:szCs w:val="20"/>
              </w:rPr>
              <w:t xml:space="preserve"> mid-career attrition warrant</w:t>
            </w:r>
            <w:r w:rsidR="003D1A17">
              <w:rPr>
                <w:rFonts w:ascii="Verdana" w:hAnsi="Verdana"/>
                <w:sz w:val="20"/>
                <w:szCs w:val="20"/>
              </w:rPr>
              <w:t>s</w:t>
            </w:r>
            <w:r w:rsidR="00C26F37" w:rsidRPr="00607914">
              <w:rPr>
                <w:rFonts w:ascii="Verdana" w:hAnsi="Verdana"/>
                <w:sz w:val="20"/>
                <w:szCs w:val="20"/>
              </w:rPr>
              <w:t xml:space="preserve"> investigation. </w:t>
            </w:r>
          </w:p>
          <w:p w14:paraId="30A20A27" w14:textId="77777777" w:rsidR="00C26F37" w:rsidRPr="00607914" w:rsidRDefault="00C26F37" w:rsidP="00C26F37">
            <w:pPr>
              <w:pStyle w:val="PlainText"/>
              <w:contextualSpacing/>
              <w:rPr>
                <w:rFonts w:ascii="Verdana" w:hAnsi="Verdana"/>
                <w:sz w:val="20"/>
                <w:szCs w:val="20"/>
              </w:rPr>
            </w:pPr>
          </w:p>
          <w:p w14:paraId="21B3A9C9" w14:textId="262D3DA1" w:rsidR="00C26F37" w:rsidRPr="00607914" w:rsidRDefault="00C26F37" w:rsidP="00C26F37">
            <w:pPr>
              <w:pStyle w:val="PlainText"/>
              <w:contextualSpacing/>
              <w:rPr>
                <w:rFonts w:ascii="Verdana" w:hAnsi="Verdana"/>
                <w:sz w:val="20"/>
                <w:szCs w:val="20"/>
              </w:rPr>
            </w:pPr>
            <w:r w:rsidRPr="00607914">
              <w:rPr>
                <w:rFonts w:ascii="Verdana" w:hAnsi="Verdana"/>
                <w:sz w:val="20"/>
                <w:szCs w:val="20"/>
              </w:rPr>
              <w:t>The organisation now distinguishes between barriers within its sphere of influence (recruitment practices, professional development access, employment type allocation) and systemic constraints requiring sector-wide reform (nursing education demographics, medical training pipelines, enterprise agreement structures), enabling more effective targeting of resources toward interventions that can produce measurable change.</w:t>
            </w:r>
          </w:p>
          <w:p w14:paraId="6CFD72FB" w14:textId="2863DDED" w:rsidR="00151C88" w:rsidRPr="00607914" w:rsidRDefault="00151C88" w:rsidP="00925B2A">
            <w:pPr>
              <w:pStyle w:val="PlainText"/>
              <w:contextualSpacing/>
              <w:rPr>
                <w:rFonts w:ascii="Verdana" w:hAnsi="Verdana"/>
                <w:sz w:val="20"/>
                <w:szCs w:val="20"/>
              </w:rPr>
            </w:pPr>
          </w:p>
        </w:tc>
      </w:tr>
      <w:tr w:rsidR="00151C88" w:rsidRPr="002112CD" w14:paraId="6CFD730C" w14:textId="77777777" w:rsidTr="3ECC7EFB">
        <w:tc>
          <w:tcPr>
            <w:tcW w:w="513" w:type="pct"/>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2FD" w14:textId="77777777" w:rsidR="00151C88" w:rsidRPr="00607914" w:rsidRDefault="000C39A1" w:rsidP="00067795">
            <w:pPr>
              <w:contextualSpacing/>
              <w:rPr>
                <w:rFonts w:ascii="Verdana" w:hAnsi="Verdana"/>
              </w:rPr>
            </w:pPr>
            <w:r w:rsidRPr="00607914">
              <w:rPr>
                <w:rFonts w:ascii="Verdana" w:hAnsi="Verdana"/>
                <w:b/>
                <w:bCs/>
                <w:color w:val="000000"/>
              </w:rPr>
              <w:lastRenderedPageBreak/>
              <w:t>2</w:t>
            </w:r>
          </w:p>
        </w:tc>
        <w:tc>
          <w:tcPr>
            <w:tcW w:w="1264"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13AB727F" w14:textId="00A865A0" w:rsidR="005A67A9" w:rsidRPr="00607914" w:rsidRDefault="005A67A9" w:rsidP="00067795">
            <w:pPr>
              <w:pStyle w:val="Body"/>
              <w:spacing w:after="0" w:line="240" w:lineRule="auto"/>
              <w:contextualSpacing/>
              <w:rPr>
                <w:rFonts w:ascii="Verdana" w:hAnsi="Verdana"/>
                <w:bCs/>
                <w:sz w:val="20"/>
                <w:szCs w:val="20"/>
                <w:lang w:eastAsia="en-AU"/>
              </w:rPr>
            </w:pPr>
            <w:r w:rsidRPr="00607914">
              <w:rPr>
                <w:rFonts w:ascii="Verdana" w:hAnsi="Verdana"/>
                <w:b/>
                <w:sz w:val="20"/>
                <w:szCs w:val="20"/>
              </w:rPr>
              <w:t>Critical</w:t>
            </w:r>
            <w:r w:rsidRPr="00607914">
              <w:rPr>
                <w:rStyle w:val="Strong"/>
                <w:rFonts w:ascii="Verdana" w:eastAsiaTheme="minorHAnsi" w:hAnsi="Verdana"/>
                <w:b w:val="0"/>
              </w:rPr>
              <w:t xml:space="preserve"> </w:t>
            </w:r>
            <w:r w:rsidRPr="00607914">
              <w:rPr>
                <w:rStyle w:val="Strong"/>
                <w:rFonts w:ascii="Verdana" w:eastAsiaTheme="minorHAnsi" w:hAnsi="Verdana"/>
                <w:bCs w:val="0"/>
              </w:rPr>
              <w:t>performance</w:t>
            </w:r>
            <w:r w:rsidRPr="00607914">
              <w:rPr>
                <w:rStyle w:val="Strong"/>
                <w:rFonts w:ascii="Verdana" w:eastAsiaTheme="minorHAnsi" w:hAnsi="Verdana"/>
                <w:b w:val="0"/>
              </w:rPr>
              <w:t xml:space="preserve"> </w:t>
            </w:r>
            <w:r w:rsidRPr="00607914">
              <w:rPr>
                <w:rStyle w:val="Strong"/>
                <w:rFonts w:ascii="Verdana" w:eastAsiaTheme="minorHAnsi" w:hAnsi="Verdana"/>
              </w:rPr>
              <w:t>measures</w:t>
            </w:r>
          </w:p>
          <w:p w14:paraId="6CFD72FE" w14:textId="1BD34930" w:rsidR="00151C88" w:rsidRPr="00607914" w:rsidRDefault="000C39A1" w:rsidP="00067795">
            <w:pPr>
              <w:contextualSpacing/>
              <w:rPr>
                <w:rFonts w:ascii="Verdana" w:hAnsi="Verdana"/>
                <w:b/>
                <w:bCs/>
              </w:rPr>
            </w:pPr>
            <w:r w:rsidRPr="00607914">
              <w:rPr>
                <w:rFonts w:ascii="Verdana" w:hAnsi="Verdana"/>
                <w:b/>
                <w:bCs/>
                <w:color w:val="000000"/>
              </w:rPr>
              <w:t>Governing body gender composition:</w:t>
            </w:r>
          </w:p>
          <w:p w14:paraId="6CFD72FF" w14:textId="536C4AA4" w:rsidR="00151C88" w:rsidRPr="00607914" w:rsidRDefault="000C39A1" w:rsidP="00067795">
            <w:pPr>
              <w:contextualSpacing/>
              <w:rPr>
                <w:rFonts w:ascii="Verdana" w:hAnsi="Verdana"/>
              </w:rPr>
            </w:pPr>
            <w:r w:rsidRPr="00607914">
              <w:rPr>
                <w:rFonts w:ascii="Verdana" w:hAnsi="Verdana"/>
                <w:color w:val="000000"/>
              </w:rPr>
              <w:t xml:space="preserve"> 2023: 4 women, 5 men (44% women)</w:t>
            </w:r>
          </w:p>
          <w:p w14:paraId="6CFD7301" w14:textId="46488935" w:rsidR="00151C88" w:rsidRPr="00607914" w:rsidRDefault="000C39A1" w:rsidP="00067795">
            <w:pPr>
              <w:contextualSpacing/>
              <w:rPr>
                <w:rFonts w:ascii="Verdana" w:hAnsi="Verdana"/>
              </w:rPr>
            </w:pPr>
            <w:r w:rsidRPr="00607914">
              <w:rPr>
                <w:rFonts w:ascii="Verdana" w:hAnsi="Verdana"/>
                <w:color w:val="000000"/>
              </w:rPr>
              <w:t xml:space="preserve"> 2025: 4 women, 5 men (44% women)</w:t>
            </w:r>
          </w:p>
          <w:p w14:paraId="6CFD7302" w14:textId="77777777" w:rsidR="00151C88" w:rsidRPr="00607914" w:rsidRDefault="000C39A1" w:rsidP="00067795">
            <w:pPr>
              <w:contextualSpacing/>
              <w:rPr>
                <w:rFonts w:ascii="Verdana" w:hAnsi="Verdana"/>
              </w:rPr>
            </w:pPr>
            <w:r w:rsidRPr="00607914">
              <w:rPr>
                <w:rFonts w:ascii="Verdana" w:hAnsi="Verdana"/>
                <w:color w:val="000000"/>
              </w:rPr>
              <w:t>No change between periods.</w:t>
            </w:r>
          </w:p>
        </w:tc>
        <w:tc>
          <w:tcPr>
            <w:tcW w:w="1178"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6CFD7303" w14:textId="28C67275" w:rsidR="00151C88" w:rsidRPr="00607914" w:rsidRDefault="000C39A1" w:rsidP="00067795">
            <w:pPr>
              <w:contextualSpacing/>
              <w:rPr>
                <w:rFonts w:ascii="Verdana" w:hAnsi="Verdana"/>
              </w:rPr>
            </w:pPr>
            <w:r w:rsidRPr="00607914">
              <w:rPr>
                <w:rFonts w:ascii="Verdana" w:hAnsi="Verdana"/>
                <w:color w:val="000000"/>
              </w:rPr>
              <w:t>Board appointments are administered</w:t>
            </w:r>
            <w:r w:rsidR="009D1D3B">
              <w:rPr>
                <w:rFonts w:ascii="Verdana" w:hAnsi="Verdana"/>
                <w:color w:val="000000"/>
              </w:rPr>
              <w:t xml:space="preserve"> externally</w:t>
            </w:r>
          </w:p>
          <w:p w14:paraId="6CFD7304" w14:textId="77777777" w:rsidR="00151C88" w:rsidRPr="00607914" w:rsidRDefault="000C39A1" w:rsidP="00067795">
            <w:pPr>
              <w:contextualSpacing/>
              <w:rPr>
                <w:rFonts w:ascii="Verdana" w:hAnsi="Verdana"/>
              </w:rPr>
            </w:pPr>
            <w:r w:rsidRPr="00607914">
              <w:rPr>
                <w:rFonts w:ascii="Verdana" w:hAnsi="Verdana"/>
                <w:color w:val="000000"/>
              </w:rPr>
              <w:t>by the Department of Health.</w:t>
            </w:r>
          </w:p>
          <w:p w14:paraId="6CFD7306" w14:textId="77777777" w:rsidR="00151C88" w:rsidRPr="00607914" w:rsidRDefault="00151C88" w:rsidP="00067795">
            <w:pPr>
              <w:contextualSpacing/>
              <w:rPr>
                <w:rFonts w:ascii="Verdana" w:hAnsi="Verdana"/>
              </w:rPr>
            </w:pPr>
          </w:p>
          <w:p w14:paraId="6CFD7309" w14:textId="3E273E76" w:rsidR="00151C88" w:rsidRPr="00607914" w:rsidRDefault="00151C88" w:rsidP="00067795">
            <w:pPr>
              <w:contextualSpacing/>
              <w:rPr>
                <w:rFonts w:ascii="Verdana" w:hAnsi="Verdana"/>
              </w:rPr>
            </w:pPr>
          </w:p>
        </w:tc>
        <w:tc>
          <w:tcPr>
            <w:tcW w:w="524" w:type="pct"/>
            <w:tcBorders>
              <w:top w:val="single" w:sz="4" w:space="0" w:color="CCCCCC"/>
              <w:left w:val="single" w:sz="4" w:space="0" w:color="CCCCCC"/>
              <w:bottom w:val="single" w:sz="4" w:space="0" w:color="CCCCCC"/>
              <w:right w:val="single" w:sz="4" w:space="0" w:color="CCCCCC"/>
            </w:tcBorders>
            <w:shd w:val="clear" w:color="auto" w:fill="E2EFDA"/>
            <w:tcMar>
              <w:top w:w="60" w:type="dxa"/>
              <w:left w:w="100" w:type="dxa"/>
              <w:bottom w:w="60" w:type="dxa"/>
              <w:right w:w="100" w:type="dxa"/>
            </w:tcMar>
          </w:tcPr>
          <w:p w14:paraId="6CFD730A" w14:textId="77777777" w:rsidR="00151C88" w:rsidRPr="00607914" w:rsidRDefault="000C39A1" w:rsidP="00067795">
            <w:pPr>
              <w:contextualSpacing/>
              <w:jc w:val="center"/>
              <w:rPr>
                <w:rFonts w:ascii="Verdana" w:hAnsi="Verdana"/>
              </w:rPr>
            </w:pPr>
            <w:r w:rsidRPr="00607914">
              <w:rPr>
                <w:rFonts w:ascii="Verdana" w:hAnsi="Verdana"/>
                <w:b/>
                <w:bCs/>
                <w:color w:val="000000"/>
              </w:rPr>
              <w:t>Yes</w:t>
            </w:r>
          </w:p>
        </w:tc>
        <w:tc>
          <w:tcPr>
            <w:tcW w:w="1520"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6CFD730B" w14:textId="36C53543" w:rsidR="00151C88" w:rsidRPr="00E74FE7" w:rsidRDefault="000C39A1" w:rsidP="00067795">
            <w:pPr>
              <w:contextualSpacing/>
              <w:rPr>
                <w:rFonts w:ascii="Verdana" w:hAnsi="Verdana"/>
                <w:color w:val="000000"/>
              </w:rPr>
            </w:pPr>
            <w:r w:rsidRPr="00607914">
              <w:rPr>
                <w:rFonts w:ascii="Verdana" w:hAnsi="Verdana"/>
                <w:color w:val="000000"/>
              </w:rPr>
              <w:t xml:space="preserve">Composition has held at 44% women (4 of 9 directors). </w:t>
            </w:r>
            <w:r w:rsidR="0038055A" w:rsidRPr="00607914">
              <w:rPr>
                <w:rFonts w:ascii="Verdana" w:hAnsi="Verdana"/>
                <w:color w:val="000000"/>
              </w:rPr>
              <w:t xml:space="preserve">The current composition is one appointment from the 50% women target. </w:t>
            </w:r>
            <w:r w:rsidRPr="00607914">
              <w:rPr>
                <w:rFonts w:ascii="Verdana" w:hAnsi="Verdana"/>
                <w:color w:val="000000"/>
              </w:rPr>
              <w:t xml:space="preserve">Board appointments are </w:t>
            </w:r>
            <w:r w:rsidR="0038055A">
              <w:rPr>
                <w:rFonts w:ascii="Verdana" w:hAnsi="Verdana"/>
                <w:color w:val="000000"/>
              </w:rPr>
              <w:t xml:space="preserve">not made by the Eye and Ear, but rather </w:t>
            </w:r>
            <w:r w:rsidRPr="00607914">
              <w:rPr>
                <w:rFonts w:ascii="Verdana" w:hAnsi="Verdana"/>
                <w:color w:val="000000"/>
              </w:rPr>
              <w:t>the Department of Health</w:t>
            </w:r>
            <w:r w:rsidR="0038055A">
              <w:rPr>
                <w:rFonts w:ascii="Verdana" w:hAnsi="Verdana"/>
                <w:color w:val="000000"/>
              </w:rPr>
              <w:t>.</w:t>
            </w:r>
            <w:r w:rsidRPr="00607914">
              <w:rPr>
                <w:rFonts w:ascii="Verdana" w:hAnsi="Verdana"/>
                <w:color w:val="000000"/>
              </w:rPr>
              <w:t xml:space="preserve"> </w:t>
            </w:r>
          </w:p>
        </w:tc>
      </w:tr>
      <w:tr w:rsidR="00151C88" w:rsidRPr="002112CD" w14:paraId="6CFD732B" w14:textId="77777777" w:rsidTr="3ECC7EFB">
        <w:tc>
          <w:tcPr>
            <w:tcW w:w="513" w:type="pct"/>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30D" w14:textId="77777777" w:rsidR="00151C88" w:rsidRPr="00607914" w:rsidRDefault="000C39A1" w:rsidP="00067795">
            <w:pPr>
              <w:contextualSpacing/>
              <w:rPr>
                <w:rFonts w:ascii="Verdana" w:hAnsi="Verdana"/>
              </w:rPr>
            </w:pPr>
            <w:r w:rsidRPr="00607914">
              <w:rPr>
                <w:rFonts w:ascii="Verdana" w:hAnsi="Verdana"/>
                <w:b/>
                <w:bCs/>
                <w:color w:val="000000"/>
              </w:rPr>
              <w:t>3</w:t>
            </w:r>
          </w:p>
        </w:tc>
        <w:tc>
          <w:tcPr>
            <w:tcW w:w="1264"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31FB92EB" w14:textId="1D2029EA" w:rsidR="00995803" w:rsidRPr="00607914" w:rsidRDefault="005A67A9" w:rsidP="00CD72AC">
            <w:pPr>
              <w:pStyle w:val="Body"/>
              <w:spacing w:after="0" w:line="240" w:lineRule="auto"/>
              <w:contextualSpacing/>
              <w:rPr>
                <w:rFonts w:ascii="Verdana" w:hAnsi="Verdana"/>
                <w:bCs/>
                <w:sz w:val="20"/>
                <w:szCs w:val="20"/>
                <w:lang w:eastAsia="en-AU"/>
              </w:rPr>
            </w:pPr>
            <w:r w:rsidRPr="00607914">
              <w:rPr>
                <w:rFonts w:ascii="Verdana" w:hAnsi="Verdana"/>
                <w:b/>
                <w:sz w:val="20"/>
                <w:szCs w:val="20"/>
              </w:rPr>
              <w:t>Critical</w:t>
            </w:r>
            <w:r w:rsidRPr="00607914">
              <w:rPr>
                <w:rStyle w:val="Strong"/>
                <w:rFonts w:ascii="Verdana" w:eastAsiaTheme="minorHAnsi" w:hAnsi="Verdana"/>
                <w:b w:val="0"/>
              </w:rPr>
              <w:t xml:space="preserve"> </w:t>
            </w:r>
            <w:r w:rsidRPr="00607914">
              <w:rPr>
                <w:rStyle w:val="Strong"/>
                <w:rFonts w:ascii="Verdana" w:eastAsiaTheme="minorHAnsi" w:hAnsi="Verdana"/>
                <w:bCs w:val="0"/>
              </w:rPr>
              <w:t>performance</w:t>
            </w:r>
            <w:r w:rsidRPr="00607914">
              <w:rPr>
                <w:rStyle w:val="Strong"/>
                <w:rFonts w:ascii="Verdana" w:eastAsiaTheme="minorHAnsi" w:hAnsi="Verdana"/>
                <w:b w:val="0"/>
              </w:rPr>
              <w:t xml:space="preserve"> </w:t>
            </w:r>
            <w:r w:rsidRPr="00607914">
              <w:rPr>
                <w:rStyle w:val="Strong"/>
                <w:rFonts w:ascii="Verdana" w:eastAsiaTheme="minorHAnsi" w:hAnsi="Verdana"/>
              </w:rPr>
              <w:t>measures</w:t>
            </w:r>
          </w:p>
          <w:p w14:paraId="13391E67" w14:textId="77777777" w:rsidR="009B3BAC" w:rsidRPr="00607914" w:rsidRDefault="009B3BAC" w:rsidP="009B3BAC">
            <w:pPr>
              <w:contextualSpacing/>
              <w:rPr>
                <w:rFonts w:ascii="Verdana" w:hAnsi="Verdana"/>
                <w:b/>
                <w:bCs/>
                <w:color w:val="000000"/>
              </w:rPr>
            </w:pPr>
            <w:r w:rsidRPr="00607914">
              <w:rPr>
                <w:rFonts w:ascii="Verdana" w:hAnsi="Verdana"/>
                <w:b/>
                <w:bCs/>
                <w:color w:val="000000"/>
              </w:rPr>
              <w:t xml:space="preserve">Mean base salary gap: </w:t>
            </w:r>
          </w:p>
          <w:p w14:paraId="1449193B" w14:textId="74CCE551" w:rsidR="00475513" w:rsidRPr="00607914" w:rsidRDefault="009B3BAC" w:rsidP="009B3BAC">
            <w:pPr>
              <w:contextualSpacing/>
              <w:rPr>
                <w:rFonts w:ascii="Verdana" w:hAnsi="Verdana"/>
                <w:color w:val="000000"/>
              </w:rPr>
            </w:pPr>
            <w:r w:rsidRPr="00607914">
              <w:rPr>
                <w:rFonts w:ascii="Verdana" w:hAnsi="Verdana"/>
                <w:color w:val="000000"/>
              </w:rPr>
              <w:t>2023: 3</w:t>
            </w:r>
            <w:r w:rsidR="00475513" w:rsidRPr="00607914">
              <w:rPr>
                <w:rFonts w:ascii="Verdana" w:hAnsi="Verdana"/>
                <w:color w:val="000000"/>
              </w:rPr>
              <w:t>7.8%</w:t>
            </w:r>
          </w:p>
          <w:p w14:paraId="0971421F" w14:textId="37D69747" w:rsidR="00794147" w:rsidRDefault="009B3BAC" w:rsidP="002F6922">
            <w:pPr>
              <w:contextualSpacing/>
              <w:rPr>
                <w:rFonts w:ascii="Verdana" w:hAnsi="Verdana"/>
                <w:color w:val="000000"/>
              </w:rPr>
            </w:pPr>
            <w:r w:rsidRPr="00607914">
              <w:rPr>
                <w:rFonts w:ascii="Verdana" w:hAnsi="Verdana"/>
                <w:color w:val="000000"/>
              </w:rPr>
              <w:t xml:space="preserve">2025: </w:t>
            </w:r>
            <w:r w:rsidR="00475513" w:rsidRPr="00607914">
              <w:rPr>
                <w:rFonts w:ascii="Verdana" w:hAnsi="Verdana"/>
                <w:color w:val="000000"/>
              </w:rPr>
              <w:t>36.8%</w:t>
            </w:r>
          </w:p>
          <w:p w14:paraId="3B3FCA08" w14:textId="77777777" w:rsidR="00A2392E" w:rsidRDefault="00A2392E" w:rsidP="002F6922">
            <w:pPr>
              <w:contextualSpacing/>
              <w:rPr>
                <w:rFonts w:ascii="Verdana" w:hAnsi="Verdana"/>
                <w:color w:val="000000"/>
              </w:rPr>
            </w:pPr>
          </w:p>
          <w:p w14:paraId="5DD7FF2A" w14:textId="745BAD2A" w:rsidR="00A2392E" w:rsidRDefault="00A2392E" w:rsidP="002F6922">
            <w:pPr>
              <w:contextualSpacing/>
              <w:rPr>
                <w:rFonts w:ascii="Verdana" w:hAnsi="Verdana"/>
                <w:color w:val="000000"/>
              </w:rPr>
            </w:pPr>
            <w:r>
              <w:rPr>
                <w:rFonts w:ascii="Verdana" w:hAnsi="Verdana"/>
                <w:color w:val="000000"/>
              </w:rPr>
              <w:t>Mean total remuneration gap:</w:t>
            </w:r>
          </w:p>
          <w:p w14:paraId="268EAF3D" w14:textId="1542AA69" w:rsidR="00A2392E" w:rsidRDefault="00A2392E" w:rsidP="002F6922">
            <w:pPr>
              <w:contextualSpacing/>
              <w:rPr>
                <w:rFonts w:ascii="Verdana" w:hAnsi="Verdana"/>
                <w:color w:val="000000"/>
              </w:rPr>
            </w:pPr>
            <w:r>
              <w:rPr>
                <w:rFonts w:ascii="Verdana" w:hAnsi="Verdana"/>
                <w:color w:val="000000"/>
              </w:rPr>
              <w:t>2023: 39.1%</w:t>
            </w:r>
          </w:p>
          <w:p w14:paraId="40D30C90" w14:textId="632BA9E7" w:rsidR="00A2392E" w:rsidRPr="00607914" w:rsidRDefault="00A2392E" w:rsidP="002F6922">
            <w:pPr>
              <w:contextualSpacing/>
              <w:rPr>
                <w:rFonts w:ascii="Verdana" w:hAnsi="Verdana"/>
                <w:color w:val="000000"/>
              </w:rPr>
            </w:pPr>
            <w:r>
              <w:rPr>
                <w:rFonts w:ascii="Verdana" w:hAnsi="Verdana"/>
                <w:color w:val="000000"/>
              </w:rPr>
              <w:t>2025: 36.8%</w:t>
            </w:r>
          </w:p>
          <w:p w14:paraId="5C9217C4" w14:textId="77777777" w:rsidR="005D2012" w:rsidRPr="00607914" w:rsidRDefault="005D2012" w:rsidP="002F6922">
            <w:pPr>
              <w:contextualSpacing/>
              <w:rPr>
                <w:rFonts w:ascii="Verdana" w:hAnsi="Verdana"/>
                <w:color w:val="000000"/>
              </w:rPr>
            </w:pPr>
          </w:p>
          <w:p w14:paraId="0B0879F4" w14:textId="0B451ED8" w:rsidR="00E079E9" w:rsidRPr="00607914" w:rsidRDefault="002F6922" w:rsidP="002F6922">
            <w:pPr>
              <w:contextualSpacing/>
              <w:rPr>
                <w:rFonts w:ascii="Verdana" w:hAnsi="Verdana"/>
                <w:b/>
                <w:bCs/>
                <w:color w:val="000000"/>
              </w:rPr>
            </w:pPr>
            <w:r w:rsidRPr="00607914">
              <w:rPr>
                <w:rFonts w:ascii="Verdana" w:hAnsi="Verdana"/>
                <w:b/>
                <w:bCs/>
                <w:color w:val="000000"/>
              </w:rPr>
              <w:t xml:space="preserve">Senior leader (Level -1) </w:t>
            </w:r>
            <w:proofErr w:type="gramStart"/>
            <w:r w:rsidR="00A076D9" w:rsidRPr="00607914">
              <w:rPr>
                <w:rFonts w:ascii="Verdana" w:hAnsi="Verdana"/>
                <w:b/>
                <w:bCs/>
                <w:color w:val="000000"/>
              </w:rPr>
              <w:t>mean</w:t>
            </w:r>
            <w:proofErr w:type="gramEnd"/>
            <w:r w:rsidR="00CD72AC" w:rsidRPr="00607914">
              <w:rPr>
                <w:rFonts w:ascii="Verdana" w:hAnsi="Verdana"/>
                <w:b/>
                <w:bCs/>
                <w:color w:val="000000"/>
              </w:rPr>
              <w:t xml:space="preserve"> total</w:t>
            </w:r>
            <w:r w:rsidRPr="00607914">
              <w:rPr>
                <w:rFonts w:ascii="Verdana" w:hAnsi="Verdana"/>
                <w:b/>
                <w:bCs/>
                <w:color w:val="000000"/>
              </w:rPr>
              <w:t xml:space="preserve"> remuneration gap: </w:t>
            </w:r>
          </w:p>
          <w:p w14:paraId="7EB49DF0" w14:textId="01E0DD57" w:rsidR="00E079E9" w:rsidRPr="00607914" w:rsidRDefault="00E079E9" w:rsidP="002F6922">
            <w:pPr>
              <w:contextualSpacing/>
              <w:rPr>
                <w:rFonts w:ascii="Verdana" w:hAnsi="Verdana"/>
                <w:color w:val="000000"/>
              </w:rPr>
            </w:pPr>
            <w:r w:rsidRPr="00607914">
              <w:rPr>
                <w:rFonts w:ascii="Verdana" w:hAnsi="Verdana"/>
                <w:color w:val="000000"/>
              </w:rPr>
              <w:t>2023: 25.8%</w:t>
            </w:r>
          </w:p>
          <w:p w14:paraId="24F60A03" w14:textId="48B6ED4B" w:rsidR="002F6922" w:rsidRPr="00607914" w:rsidRDefault="00E71380" w:rsidP="002F6922">
            <w:pPr>
              <w:contextualSpacing/>
              <w:rPr>
                <w:rFonts w:ascii="Verdana" w:hAnsi="Verdana"/>
                <w:color w:val="000000"/>
              </w:rPr>
            </w:pPr>
            <w:r w:rsidRPr="00607914">
              <w:rPr>
                <w:rFonts w:ascii="Verdana" w:hAnsi="Verdana"/>
                <w:color w:val="000000"/>
              </w:rPr>
              <w:t xml:space="preserve">2025: </w:t>
            </w:r>
            <w:r w:rsidR="00F87F48" w:rsidRPr="00195D9C">
              <w:rPr>
                <w:rFonts w:ascii="Verdana" w:hAnsi="Verdana"/>
                <w:color w:val="000000"/>
              </w:rPr>
              <w:t>31.4%</w:t>
            </w:r>
          </w:p>
          <w:p w14:paraId="1FA7B04B" w14:textId="77777777" w:rsidR="009D7D0D" w:rsidRPr="00607914" w:rsidRDefault="009D7D0D" w:rsidP="002F6922">
            <w:pPr>
              <w:contextualSpacing/>
              <w:rPr>
                <w:rFonts w:ascii="Verdana" w:hAnsi="Verdana"/>
                <w:color w:val="000000"/>
              </w:rPr>
            </w:pPr>
          </w:p>
          <w:p w14:paraId="41DF129A" w14:textId="77777777" w:rsidR="009D7D0D" w:rsidRPr="00607914" w:rsidRDefault="002F6922" w:rsidP="002F6922">
            <w:pPr>
              <w:contextualSpacing/>
              <w:rPr>
                <w:rFonts w:ascii="Verdana" w:hAnsi="Verdana"/>
                <w:b/>
                <w:bCs/>
                <w:color w:val="000000"/>
              </w:rPr>
            </w:pPr>
            <w:r w:rsidRPr="00607914">
              <w:rPr>
                <w:rFonts w:ascii="Verdana" w:hAnsi="Verdana"/>
                <w:b/>
                <w:bCs/>
                <w:color w:val="000000"/>
              </w:rPr>
              <w:t xml:space="preserve">Median total remuneration gap: </w:t>
            </w:r>
          </w:p>
          <w:p w14:paraId="017AC6CE" w14:textId="77777777" w:rsidR="00C9543F" w:rsidRPr="00195D9C" w:rsidRDefault="00C9543F" w:rsidP="002F6922">
            <w:pPr>
              <w:contextualSpacing/>
              <w:rPr>
                <w:rFonts w:ascii="Verdana" w:hAnsi="Verdana"/>
                <w:color w:val="000000"/>
              </w:rPr>
            </w:pPr>
            <w:r w:rsidRPr="00195D9C">
              <w:rPr>
                <w:rFonts w:ascii="Verdana" w:hAnsi="Verdana"/>
                <w:color w:val="000000"/>
              </w:rPr>
              <w:t xml:space="preserve">2023: 48.3% </w:t>
            </w:r>
          </w:p>
          <w:p w14:paraId="174657E9" w14:textId="49A3C3BC" w:rsidR="005D2012" w:rsidRPr="00607914" w:rsidRDefault="00C9543F" w:rsidP="002F6922">
            <w:pPr>
              <w:contextualSpacing/>
              <w:rPr>
                <w:rFonts w:ascii="Verdana" w:hAnsi="Verdana"/>
                <w:color w:val="000000"/>
              </w:rPr>
            </w:pPr>
            <w:r w:rsidRPr="00195D9C">
              <w:rPr>
                <w:rFonts w:ascii="Verdana" w:hAnsi="Verdana"/>
                <w:color w:val="000000"/>
              </w:rPr>
              <w:t>2025: 41.1%</w:t>
            </w:r>
          </w:p>
          <w:p w14:paraId="7AA1FDEB" w14:textId="77777777" w:rsidR="00C9543F" w:rsidRPr="00607914" w:rsidRDefault="00C9543F" w:rsidP="002F6922">
            <w:pPr>
              <w:contextualSpacing/>
              <w:rPr>
                <w:rFonts w:ascii="Verdana" w:hAnsi="Verdana"/>
                <w:b/>
                <w:bCs/>
                <w:color w:val="000000"/>
              </w:rPr>
            </w:pPr>
          </w:p>
          <w:p w14:paraId="7A4FF124" w14:textId="77777777" w:rsidR="009D7D0D" w:rsidRPr="00607914" w:rsidRDefault="002F6922" w:rsidP="002F6922">
            <w:pPr>
              <w:contextualSpacing/>
              <w:rPr>
                <w:rFonts w:ascii="Verdana" w:hAnsi="Verdana"/>
                <w:b/>
                <w:bCs/>
                <w:color w:val="000000"/>
              </w:rPr>
            </w:pPr>
            <w:r w:rsidRPr="00607914">
              <w:rPr>
                <w:rFonts w:ascii="Verdana" w:hAnsi="Verdana"/>
                <w:b/>
                <w:bCs/>
                <w:color w:val="000000"/>
              </w:rPr>
              <w:t xml:space="preserve">Median base salary gap: </w:t>
            </w:r>
          </w:p>
          <w:p w14:paraId="7EC8F761" w14:textId="19398FA4" w:rsidR="00606562" w:rsidRPr="00607914" w:rsidRDefault="002F6922" w:rsidP="002F6922">
            <w:pPr>
              <w:contextualSpacing/>
              <w:rPr>
                <w:rFonts w:ascii="Verdana" w:hAnsi="Verdana"/>
                <w:color w:val="000000"/>
              </w:rPr>
            </w:pPr>
            <w:r w:rsidRPr="00607914">
              <w:rPr>
                <w:rFonts w:ascii="Verdana" w:hAnsi="Verdana"/>
                <w:color w:val="000000"/>
              </w:rPr>
              <w:t>2023: 3</w:t>
            </w:r>
            <w:r w:rsidR="00606562" w:rsidRPr="00607914">
              <w:rPr>
                <w:rFonts w:ascii="Verdana" w:hAnsi="Verdana"/>
                <w:color w:val="000000"/>
              </w:rPr>
              <w:t>8.6%</w:t>
            </w:r>
          </w:p>
          <w:p w14:paraId="3F257A0C" w14:textId="55F1DB73" w:rsidR="002F6922" w:rsidRPr="00607914" w:rsidRDefault="002F6922" w:rsidP="002F6922">
            <w:pPr>
              <w:contextualSpacing/>
              <w:rPr>
                <w:rFonts w:ascii="Verdana" w:hAnsi="Verdana"/>
                <w:color w:val="000000"/>
              </w:rPr>
            </w:pPr>
            <w:r w:rsidRPr="00607914">
              <w:rPr>
                <w:rFonts w:ascii="Verdana" w:hAnsi="Verdana"/>
                <w:color w:val="000000"/>
              </w:rPr>
              <w:t>2025: 3</w:t>
            </w:r>
            <w:r w:rsidR="00606562" w:rsidRPr="00607914">
              <w:rPr>
                <w:rFonts w:ascii="Verdana" w:hAnsi="Verdana"/>
                <w:color w:val="000000"/>
              </w:rPr>
              <w:t>5.7%</w:t>
            </w:r>
          </w:p>
          <w:p w14:paraId="27636A2E" w14:textId="77777777" w:rsidR="005D2012" w:rsidRPr="00607914" w:rsidRDefault="005D2012" w:rsidP="002F6922">
            <w:pPr>
              <w:contextualSpacing/>
              <w:rPr>
                <w:rFonts w:ascii="Verdana" w:hAnsi="Verdana"/>
                <w:color w:val="000000"/>
              </w:rPr>
            </w:pPr>
          </w:p>
          <w:p w14:paraId="46E0BDC2" w14:textId="77777777" w:rsidR="005D2012" w:rsidRPr="00607914" w:rsidRDefault="005D2012" w:rsidP="002F6922">
            <w:pPr>
              <w:contextualSpacing/>
              <w:rPr>
                <w:rFonts w:ascii="Verdana" w:hAnsi="Verdana"/>
                <w:color w:val="000000"/>
              </w:rPr>
            </w:pPr>
          </w:p>
          <w:p w14:paraId="6CFD7318" w14:textId="1A9C9FEF" w:rsidR="00151C88" w:rsidRPr="00607914" w:rsidRDefault="00151C88" w:rsidP="00CD72AC">
            <w:pPr>
              <w:contextualSpacing/>
              <w:rPr>
                <w:rFonts w:ascii="Verdana" w:hAnsi="Verdana"/>
              </w:rPr>
            </w:pPr>
          </w:p>
        </w:tc>
        <w:tc>
          <w:tcPr>
            <w:tcW w:w="1178"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5AF9B050" w14:textId="77777777" w:rsidR="00490F58" w:rsidRPr="00195D9C" w:rsidRDefault="00490F58" w:rsidP="00490F58">
            <w:pPr>
              <w:contextualSpacing/>
              <w:rPr>
                <w:rFonts w:ascii="Verdana" w:hAnsi="Verdana"/>
                <w:b/>
                <w:bCs/>
                <w:color w:val="000000"/>
              </w:rPr>
            </w:pPr>
            <w:r w:rsidRPr="00195D9C">
              <w:rPr>
                <w:rFonts w:ascii="Verdana" w:hAnsi="Verdana"/>
                <w:b/>
                <w:bCs/>
                <w:color w:val="000000"/>
              </w:rPr>
              <w:t>Mean total remuneration gap by occupational group (2025):</w:t>
            </w:r>
          </w:p>
          <w:p w14:paraId="37EDCBEC" w14:textId="2546B89B" w:rsidR="00490F58" w:rsidRPr="00195D9C" w:rsidRDefault="00040762" w:rsidP="00490F58">
            <w:pPr>
              <w:contextualSpacing/>
              <w:rPr>
                <w:rFonts w:ascii="Verdana" w:hAnsi="Verdana"/>
                <w:color w:val="000000"/>
              </w:rPr>
            </w:pPr>
            <w:r>
              <w:rPr>
                <w:rFonts w:ascii="Verdana" w:hAnsi="Verdana"/>
                <w:color w:val="000000"/>
              </w:rPr>
              <w:t>Allied Health</w:t>
            </w:r>
            <w:r w:rsidR="00490F58" w:rsidRPr="00195D9C">
              <w:rPr>
                <w:rFonts w:ascii="Verdana" w:hAnsi="Verdana"/>
                <w:color w:val="000000"/>
              </w:rPr>
              <w:t>: -11% (reverse gap)</w:t>
            </w:r>
          </w:p>
          <w:p w14:paraId="38B4F4ED" w14:textId="77777777" w:rsidR="00490F58" w:rsidRPr="00195D9C" w:rsidRDefault="00490F58" w:rsidP="00490F58">
            <w:pPr>
              <w:contextualSpacing/>
              <w:rPr>
                <w:rFonts w:ascii="Verdana" w:hAnsi="Verdana"/>
                <w:color w:val="000000"/>
              </w:rPr>
            </w:pPr>
            <w:r w:rsidRPr="00195D9C">
              <w:rPr>
                <w:rFonts w:ascii="Verdana" w:hAnsi="Verdana"/>
                <w:color w:val="000000"/>
              </w:rPr>
              <w:t>Medical: 1% (near parity)</w:t>
            </w:r>
          </w:p>
          <w:p w14:paraId="1124F9EC" w14:textId="77777777" w:rsidR="00490F58" w:rsidRPr="00195D9C" w:rsidRDefault="00490F58" w:rsidP="00490F58">
            <w:pPr>
              <w:contextualSpacing/>
              <w:rPr>
                <w:rFonts w:ascii="Verdana" w:hAnsi="Verdana"/>
                <w:color w:val="000000"/>
              </w:rPr>
            </w:pPr>
            <w:r w:rsidRPr="00195D9C">
              <w:rPr>
                <w:rFonts w:ascii="Verdana" w:hAnsi="Verdana"/>
                <w:color w:val="000000"/>
              </w:rPr>
              <w:t>Nursing: 1% (near parity)</w:t>
            </w:r>
          </w:p>
          <w:p w14:paraId="529493B2" w14:textId="77777777" w:rsidR="00490F58" w:rsidRPr="00195D9C" w:rsidRDefault="00490F58" w:rsidP="00490F58">
            <w:pPr>
              <w:contextualSpacing/>
              <w:rPr>
                <w:rFonts w:ascii="Verdana" w:hAnsi="Verdana"/>
                <w:color w:val="000000"/>
              </w:rPr>
            </w:pPr>
            <w:r w:rsidRPr="00195D9C">
              <w:rPr>
                <w:rFonts w:ascii="Verdana" w:hAnsi="Verdana"/>
                <w:color w:val="000000"/>
              </w:rPr>
              <w:t>Non-Clinical: 14%</w:t>
            </w:r>
          </w:p>
          <w:p w14:paraId="760B9A76" w14:textId="77777777" w:rsidR="00490F58" w:rsidRPr="00195D9C" w:rsidRDefault="00490F58" w:rsidP="00490F58">
            <w:pPr>
              <w:contextualSpacing/>
              <w:rPr>
                <w:rFonts w:ascii="Verdana" w:hAnsi="Verdana"/>
                <w:color w:val="000000"/>
              </w:rPr>
            </w:pPr>
          </w:p>
          <w:p w14:paraId="28F30003" w14:textId="77777777" w:rsidR="00490F58" w:rsidRPr="00195D9C" w:rsidRDefault="00490F58" w:rsidP="00490F58">
            <w:pPr>
              <w:contextualSpacing/>
              <w:rPr>
                <w:rFonts w:ascii="Verdana" w:hAnsi="Verdana"/>
                <w:b/>
                <w:bCs/>
                <w:color w:val="000000"/>
              </w:rPr>
            </w:pPr>
            <w:r w:rsidRPr="00195D9C">
              <w:rPr>
                <w:rFonts w:ascii="Verdana" w:hAnsi="Verdana"/>
                <w:b/>
                <w:bCs/>
                <w:color w:val="000000"/>
              </w:rPr>
              <w:t>Mean base salary gap by occupational group:</w:t>
            </w:r>
          </w:p>
          <w:p w14:paraId="0D543F98" w14:textId="53D4A0DF" w:rsidR="00490F58" w:rsidRPr="00195D9C" w:rsidRDefault="00040762" w:rsidP="00490F58">
            <w:pPr>
              <w:contextualSpacing/>
              <w:rPr>
                <w:rFonts w:ascii="Verdana" w:hAnsi="Verdana"/>
                <w:color w:val="000000"/>
              </w:rPr>
            </w:pPr>
            <w:r>
              <w:rPr>
                <w:rFonts w:ascii="Verdana" w:hAnsi="Verdana"/>
                <w:color w:val="000000"/>
              </w:rPr>
              <w:t>Allied Health</w:t>
            </w:r>
            <w:r w:rsidR="00490F58" w:rsidRPr="00195D9C">
              <w:rPr>
                <w:rFonts w:ascii="Verdana" w:hAnsi="Verdana"/>
                <w:color w:val="000000"/>
              </w:rPr>
              <w:t>: -11% (reverse gap)</w:t>
            </w:r>
          </w:p>
          <w:p w14:paraId="74186F26" w14:textId="77777777" w:rsidR="00490F58" w:rsidRPr="00195D9C" w:rsidRDefault="00490F58" w:rsidP="00490F58">
            <w:pPr>
              <w:contextualSpacing/>
              <w:rPr>
                <w:rFonts w:ascii="Verdana" w:hAnsi="Verdana"/>
                <w:color w:val="000000"/>
              </w:rPr>
            </w:pPr>
            <w:r w:rsidRPr="00195D9C">
              <w:rPr>
                <w:rFonts w:ascii="Verdana" w:hAnsi="Verdana"/>
                <w:color w:val="000000"/>
              </w:rPr>
              <w:t>Medical: 2%</w:t>
            </w:r>
          </w:p>
          <w:p w14:paraId="686D0933" w14:textId="77777777" w:rsidR="00490F58" w:rsidRPr="00195D9C" w:rsidRDefault="00490F58" w:rsidP="00490F58">
            <w:pPr>
              <w:contextualSpacing/>
              <w:rPr>
                <w:rFonts w:ascii="Verdana" w:hAnsi="Verdana"/>
                <w:color w:val="000000"/>
              </w:rPr>
            </w:pPr>
            <w:r w:rsidRPr="00195D9C">
              <w:rPr>
                <w:rFonts w:ascii="Verdana" w:hAnsi="Verdana"/>
                <w:color w:val="000000"/>
              </w:rPr>
              <w:t>Nursing: 2%</w:t>
            </w:r>
          </w:p>
          <w:p w14:paraId="3A06E83B" w14:textId="77777777" w:rsidR="00490F58" w:rsidRPr="00195D9C" w:rsidRDefault="00490F58" w:rsidP="00490F58">
            <w:pPr>
              <w:contextualSpacing/>
              <w:rPr>
                <w:rFonts w:ascii="Verdana" w:hAnsi="Verdana"/>
                <w:color w:val="000000"/>
              </w:rPr>
            </w:pPr>
            <w:r w:rsidRPr="00195D9C">
              <w:rPr>
                <w:rFonts w:ascii="Verdana" w:hAnsi="Verdana"/>
                <w:color w:val="000000"/>
              </w:rPr>
              <w:t>Non-Clinical: 12%</w:t>
            </w:r>
          </w:p>
          <w:p w14:paraId="26597F9B" w14:textId="77777777" w:rsidR="00490F58" w:rsidRPr="00195D9C" w:rsidRDefault="00490F58" w:rsidP="00490F58">
            <w:pPr>
              <w:contextualSpacing/>
              <w:rPr>
                <w:rFonts w:ascii="Verdana" w:hAnsi="Verdana"/>
                <w:color w:val="000000"/>
              </w:rPr>
            </w:pPr>
          </w:p>
          <w:p w14:paraId="3607FF31" w14:textId="77777777" w:rsidR="00490F58" w:rsidRPr="00195D9C" w:rsidRDefault="00490F58" w:rsidP="00490F58">
            <w:pPr>
              <w:contextualSpacing/>
              <w:rPr>
                <w:rFonts w:ascii="Verdana" w:hAnsi="Verdana"/>
                <w:b/>
                <w:bCs/>
                <w:color w:val="000000"/>
              </w:rPr>
            </w:pPr>
            <w:r w:rsidRPr="00195D9C">
              <w:rPr>
                <w:rFonts w:ascii="Verdana" w:hAnsi="Verdana"/>
                <w:b/>
                <w:bCs/>
                <w:color w:val="000000"/>
              </w:rPr>
              <w:t>Cross-group gap (occupational segregation):</w:t>
            </w:r>
          </w:p>
          <w:p w14:paraId="6BD5D9E2" w14:textId="77777777" w:rsidR="00490F58" w:rsidRPr="00195D9C" w:rsidRDefault="00490F58" w:rsidP="00490F58">
            <w:pPr>
              <w:contextualSpacing/>
              <w:rPr>
                <w:rFonts w:ascii="Verdana" w:hAnsi="Verdana"/>
                <w:color w:val="000000"/>
              </w:rPr>
            </w:pPr>
            <w:r w:rsidRPr="00195D9C">
              <w:rPr>
                <w:rFonts w:ascii="Verdana" w:hAnsi="Verdana"/>
                <w:color w:val="000000"/>
              </w:rPr>
              <w:t>Medical mean base: $328,796 (M) / $323,169 (W)</w:t>
            </w:r>
          </w:p>
          <w:p w14:paraId="0614A033" w14:textId="77777777" w:rsidR="00490F58" w:rsidRPr="00195D9C" w:rsidRDefault="00490F58" w:rsidP="00490F58">
            <w:pPr>
              <w:contextualSpacing/>
              <w:rPr>
                <w:rFonts w:ascii="Verdana" w:hAnsi="Verdana"/>
                <w:color w:val="000000"/>
              </w:rPr>
            </w:pPr>
            <w:r w:rsidRPr="00195D9C">
              <w:rPr>
                <w:rFonts w:ascii="Verdana" w:hAnsi="Verdana"/>
                <w:color w:val="000000"/>
              </w:rPr>
              <w:t>Nursing mean base: $117,938 (M) / $116,069 (W)</w:t>
            </w:r>
          </w:p>
          <w:p w14:paraId="6CFD7328" w14:textId="605289FC" w:rsidR="00151C88" w:rsidRPr="00195D9C" w:rsidRDefault="00490F58" w:rsidP="00490F58">
            <w:pPr>
              <w:contextualSpacing/>
              <w:rPr>
                <w:rFonts w:ascii="Verdana" w:hAnsi="Verdana"/>
              </w:rPr>
            </w:pPr>
            <w:r w:rsidRPr="00195D9C">
              <w:rPr>
                <w:rFonts w:ascii="Verdana" w:hAnsi="Verdana"/>
                <w:color w:val="000000"/>
              </w:rPr>
              <w:t>Difference: $212,727 - drives org-level gap</w:t>
            </w:r>
          </w:p>
        </w:tc>
        <w:tc>
          <w:tcPr>
            <w:tcW w:w="524" w:type="pct"/>
            <w:tcBorders>
              <w:top w:val="single" w:sz="4" w:space="0" w:color="CCCCCC"/>
              <w:left w:val="single" w:sz="4" w:space="0" w:color="CCCCCC"/>
              <w:bottom w:val="single" w:sz="4" w:space="0" w:color="CCCCCC"/>
              <w:right w:val="single" w:sz="4" w:space="0" w:color="CCCCCC"/>
            </w:tcBorders>
            <w:shd w:val="clear" w:color="auto" w:fill="E2EFDA"/>
            <w:tcMar>
              <w:top w:w="60" w:type="dxa"/>
              <w:left w:w="100" w:type="dxa"/>
              <w:bottom w:w="60" w:type="dxa"/>
              <w:right w:w="100" w:type="dxa"/>
            </w:tcMar>
          </w:tcPr>
          <w:p w14:paraId="6CFD7329" w14:textId="77777777" w:rsidR="00151C88" w:rsidRPr="00607914" w:rsidRDefault="000C39A1" w:rsidP="00067795">
            <w:pPr>
              <w:contextualSpacing/>
              <w:jc w:val="center"/>
              <w:rPr>
                <w:rFonts w:ascii="Verdana" w:hAnsi="Verdana"/>
              </w:rPr>
            </w:pPr>
            <w:r w:rsidRPr="00607914">
              <w:rPr>
                <w:rFonts w:ascii="Verdana" w:hAnsi="Verdana"/>
                <w:b/>
                <w:bCs/>
                <w:color w:val="000000"/>
              </w:rPr>
              <w:t>Yes</w:t>
            </w:r>
          </w:p>
        </w:tc>
        <w:tc>
          <w:tcPr>
            <w:tcW w:w="1520"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4225336F" w14:textId="7E66851B" w:rsidR="00193BE2" w:rsidRDefault="00E05481" w:rsidP="00E05481">
            <w:pPr>
              <w:contextualSpacing/>
              <w:rPr>
                <w:rFonts w:ascii="Verdana" w:hAnsi="Verdana"/>
                <w:color w:val="000000"/>
              </w:rPr>
            </w:pPr>
            <w:r w:rsidRPr="00195D9C">
              <w:rPr>
                <w:rFonts w:ascii="Verdana" w:hAnsi="Verdana"/>
                <w:color w:val="000000"/>
              </w:rPr>
              <w:t xml:space="preserve">All four organisational pay gap measures </w:t>
            </w:r>
            <w:r w:rsidR="004426B2">
              <w:rPr>
                <w:rFonts w:ascii="Verdana" w:hAnsi="Verdana"/>
                <w:color w:val="000000"/>
              </w:rPr>
              <w:t>improved</w:t>
            </w:r>
            <w:r w:rsidR="004426B2" w:rsidRPr="00195D9C">
              <w:rPr>
                <w:rFonts w:ascii="Verdana" w:hAnsi="Verdana"/>
                <w:color w:val="000000"/>
              </w:rPr>
              <w:t xml:space="preserve"> </w:t>
            </w:r>
            <w:r w:rsidRPr="00195D9C">
              <w:rPr>
                <w:rFonts w:ascii="Verdana" w:hAnsi="Verdana"/>
                <w:color w:val="000000"/>
              </w:rPr>
              <w:t>between reporting periods (mean base: 3</w:t>
            </w:r>
            <w:r w:rsidR="00430381" w:rsidRPr="00195D9C">
              <w:rPr>
                <w:rFonts w:ascii="Verdana" w:hAnsi="Verdana"/>
                <w:color w:val="000000"/>
              </w:rPr>
              <w:t>7.8</w:t>
            </w:r>
            <w:r w:rsidRPr="00195D9C">
              <w:rPr>
                <w:rFonts w:ascii="Verdana" w:hAnsi="Verdana"/>
                <w:color w:val="000000"/>
              </w:rPr>
              <w:t>%</w:t>
            </w:r>
            <w:r w:rsidRPr="00195D9C">
              <w:rPr>
                <w:color w:val="000000"/>
              </w:rPr>
              <w:t>→</w:t>
            </w:r>
            <w:r w:rsidR="00430381" w:rsidRPr="00195D9C">
              <w:rPr>
                <w:rFonts w:ascii="Verdana" w:hAnsi="Verdana"/>
                <w:color w:val="000000"/>
              </w:rPr>
              <w:t>36.8</w:t>
            </w:r>
            <w:r w:rsidRPr="00195D9C">
              <w:rPr>
                <w:rFonts w:ascii="Verdana" w:hAnsi="Verdana"/>
                <w:color w:val="000000"/>
              </w:rPr>
              <w:t xml:space="preserve">%; </w:t>
            </w:r>
            <w:r w:rsidR="00A14600" w:rsidRPr="00195D9C">
              <w:rPr>
                <w:rFonts w:ascii="Verdana" w:hAnsi="Verdana"/>
                <w:color w:val="000000"/>
              </w:rPr>
              <w:t>median base: 38.6%</w:t>
            </w:r>
            <w:r w:rsidR="00A14600" w:rsidRPr="00195D9C">
              <w:rPr>
                <w:color w:val="000000"/>
              </w:rPr>
              <w:t>→</w:t>
            </w:r>
            <w:r w:rsidR="00A14600" w:rsidRPr="00195D9C">
              <w:rPr>
                <w:rFonts w:ascii="Verdana" w:hAnsi="Verdana"/>
                <w:color w:val="000000"/>
              </w:rPr>
              <w:t xml:space="preserve">35.7%; </w:t>
            </w:r>
            <w:r w:rsidRPr="00195D9C">
              <w:rPr>
                <w:rFonts w:ascii="Verdana" w:hAnsi="Verdana"/>
                <w:color w:val="000000"/>
              </w:rPr>
              <w:t xml:space="preserve">mean total remuneration: </w:t>
            </w:r>
            <w:r w:rsidR="000B242B" w:rsidRPr="00195D9C">
              <w:rPr>
                <w:rFonts w:ascii="Verdana" w:hAnsi="Verdana"/>
                <w:color w:val="000000"/>
              </w:rPr>
              <w:t>39.1%</w:t>
            </w:r>
            <w:r w:rsidR="006928BC" w:rsidRPr="00106817">
              <w:rPr>
                <w:color w:val="000000"/>
              </w:rPr>
              <w:t>→</w:t>
            </w:r>
            <w:r w:rsidR="006928BC" w:rsidRPr="00106817">
              <w:rPr>
                <w:rFonts w:ascii="Verdana" w:hAnsi="Verdana"/>
                <w:color w:val="000000"/>
              </w:rPr>
              <w:t xml:space="preserve">36.8%, </w:t>
            </w:r>
            <w:r w:rsidRPr="00195D9C">
              <w:rPr>
                <w:rFonts w:ascii="Verdana" w:hAnsi="Verdana"/>
                <w:color w:val="000000"/>
              </w:rPr>
              <w:t>median total remuneration: 48</w:t>
            </w:r>
            <w:r w:rsidR="00B534FC" w:rsidRPr="00195D9C">
              <w:rPr>
                <w:rFonts w:ascii="Verdana" w:hAnsi="Verdana"/>
                <w:color w:val="000000"/>
              </w:rPr>
              <w:t>.3</w:t>
            </w:r>
            <w:r w:rsidRPr="00195D9C">
              <w:rPr>
                <w:rFonts w:ascii="Verdana" w:hAnsi="Verdana"/>
                <w:color w:val="000000"/>
              </w:rPr>
              <w:t>%</w:t>
            </w:r>
            <w:r w:rsidRPr="00106817">
              <w:rPr>
                <w:color w:val="000000"/>
              </w:rPr>
              <w:t>→</w:t>
            </w:r>
            <w:r w:rsidRPr="00195D9C">
              <w:rPr>
                <w:rFonts w:ascii="Verdana" w:hAnsi="Verdana"/>
                <w:color w:val="000000"/>
              </w:rPr>
              <w:t>41</w:t>
            </w:r>
            <w:r w:rsidR="00B534FC" w:rsidRPr="00195D9C">
              <w:rPr>
                <w:rFonts w:ascii="Verdana" w:hAnsi="Verdana"/>
                <w:color w:val="000000"/>
              </w:rPr>
              <w:t>.1</w:t>
            </w:r>
            <w:r w:rsidRPr="00195D9C">
              <w:rPr>
                <w:rFonts w:ascii="Verdana" w:hAnsi="Verdana"/>
                <w:color w:val="000000"/>
              </w:rPr>
              <w:t xml:space="preserve">%). </w:t>
            </w:r>
          </w:p>
          <w:p w14:paraId="2B2DA78D" w14:textId="77777777" w:rsidR="00193BE2" w:rsidRDefault="00193BE2" w:rsidP="00E05481">
            <w:pPr>
              <w:contextualSpacing/>
              <w:rPr>
                <w:rFonts w:ascii="Verdana" w:hAnsi="Verdana"/>
                <w:color w:val="000000"/>
              </w:rPr>
            </w:pPr>
          </w:p>
          <w:p w14:paraId="746CC522" w14:textId="00B2542C" w:rsidR="006A74D8" w:rsidRDefault="00E05481" w:rsidP="00E05481">
            <w:pPr>
              <w:contextualSpacing/>
              <w:rPr>
                <w:rFonts w:ascii="Verdana" w:hAnsi="Verdana"/>
                <w:color w:val="000000"/>
              </w:rPr>
            </w:pPr>
            <w:r w:rsidRPr="00195D9C">
              <w:rPr>
                <w:rFonts w:ascii="Verdana" w:hAnsi="Verdana"/>
                <w:color w:val="000000"/>
              </w:rPr>
              <w:t>The senior leader pay gap increased from 2</w:t>
            </w:r>
            <w:r w:rsidR="00193CE2" w:rsidRPr="00195D9C">
              <w:rPr>
                <w:rFonts w:ascii="Verdana" w:hAnsi="Verdana"/>
                <w:color w:val="000000"/>
              </w:rPr>
              <w:t>5.8%</w:t>
            </w:r>
            <w:r w:rsidR="00193CE2" w:rsidRPr="00195D9C">
              <w:rPr>
                <w:color w:val="000000"/>
              </w:rPr>
              <w:t>→</w:t>
            </w:r>
            <w:r w:rsidR="00AA74E4" w:rsidRPr="00195D9C">
              <w:rPr>
                <w:color w:val="000000"/>
              </w:rPr>
              <w:t>3</w:t>
            </w:r>
            <w:r w:rsidR="00193CE2" w:rsidRPr="00195D9C">
              <w:rPr>
                <w:color w:val="000000"/>
              </w:rPr>
              <w:t>1.4%</w:t>
            </w:r>
            <w:r w:rsidRPr="00195D9C">
              <w:rPr>
                <w:rFonts w:ascii="Verdana" w:hAnsi="Verdana"/>
                <w:color w:val="000000"/>
              </w:rPr>
              <w:t xml:space="preserve">% (mean total remuneration), however this metric covers only four </w:t>
            </w:r>
            <w:r w:rsidR="009A60D3" w:rsidRPr="00195D9C">
              <w:rPr>
                <w:rFonts w:ascii="Verdana" w:hAnsi="Verdana"/>
                <w:color w:val="000000"/>
              </w:rPr>
              <w:t>positions,</w:t>
            </w:r>
            <w:r w:rsidR="009A60D3">
              <w:rPr>
                <w:rFonts w:ascii="Verdana" w:hAnsi="Verdana"/>
                <w:color w:val="000000"/>
              </w:rPr>
              <w:t xml:space="preserve"> and</w:t>
            </w:r>
            <w:r w:rsidR="003A6194">
              <w:rPr>
                <w:rFonts w:ascii="Verdana" w:hAnsi="Verdana"/>
                <w:color w:val="000000"/>
              </w:rPr>
              <w:t xml:space="preserve"> there was a position vacancy </w:t>
            </w:r>
            <w:r w:rsidR="00046D9F">
              <w:rPr>
                <w:rFonts w:ascii="Verdana" w:hAnsi="Verdana"/>
                <w:color w:val="000000"/>
              </w:rPr>
              <w:t>(previous</w:t>
            </w:r>
            <w:r w:rsidR="00193BE2">
              <w:rPr>
                <w:rFonts w:ascii="Verdana" w:hAnsi="Verdana"/>
                <w:color w:val="000000"/>
              </w:rPr>
              <w:t xml:space="preserve">ly </w:t>
            </w:r>
            <w:r w:rsidR="00046D9F">
              <w:rPr>
                <w:rFonts w:ascii="Verdana" w:hAnsi="Verdana"/>
                <w:color w:val="000000"/>
              </w:rPr>
              <w:t xml:space="preserve">female) </w:t>
            </w:r>
            <w:r w:rsidR="003A6194">
              <w:rPr>
                <w:rFonts w:ascii="Verdana" w:hAnsi="Verdana"/>
                <w:color w:val="000000"/>
              </w:rPr>
              <w:t>at the reporting date</w:t>
            </w:r>
            <w:r w:rsidRPr="00195D9C">
              <w:rPr>
                <w:rFonts w:ascii="Verdana" w:hAnsi="Verdana"/>
                <w:color w:val="000000"/>
              </w:rPr>
              <w:t>. With a cohort this small, the metric fluctuates with any single appointment change</w:t>
            </w:r>
            <w:r w:rsidR="006A74D8">
              <w:rPr>
                <w:rFonts w:ascii="Verdana" w:hAnsi="Verdana"/>
                <w:color w:val="000000"/>
              </w:rPr>
              <w:t>.</w:t>
            </w:r>
          </w:p>
          <w:p w14:paraId="4A1BD771" w14:textId="77777777" w:rsidR="009A60D3" w:rsidRDefault="009A60D3" w:rsidP="00E05481">
            <w:pPr>
              <w:contextualSpacing/>
              <w:rPr>
                <w:rFonts w:ascii="Verdana" w:hAnsi="Verdana"/>
                <w:color w:val="000000"/>
              </w:rPr>
            </w:pPr>
          </w:p>
          <w:p w14:paraId="4FB98923" w14:textId="2D122BC2" w:rsidR="00E05481" w:rsidRDefault="00E05481" w:rsidP="00E05481">
            <w:pPr>
              <w:contextualSpacing/>
              <w:rPr>
                <w:rFonts w:ascii="Verdana" w:hAnsi="Verdana"/>
                <w:color w:val="000000"/>
              </w:rPr>
            </w:pPr>
            <w:r w:rsidRPr="00195D9C">
              <w:rPr>
                <w:rFonts w:ascii="Verdana" w:hAnsi="Verdana"/>
                <w:color w:val="000000"/>
              </w:rPr>
              <w:t xml:space="preserve">Within-occupation analysis reveals near pay parity in three of four groups: Medical 0-2% gap, Nursing 1-4% gap, </w:t>
            </w:r>
            <w:r w:rsidR="00040762">
              <w:rPr>
                <w:rFonts w:ascii="Verdana" w:hAnsi="Verdana"/>
                <w:color w:val="000000"/>
              </w:rPr>
              <w:t>Allied Health</w:t>
            </w:r>
            <w:r w:rsidRPr="00195D9C">
              <w:rPr>
                <w:rFonts w:ascii="Verdana" w:hAnsi="Verdana"/>
                <w:color w:val="000000"/>
              </w:rPr>
              <w:t xml:space="preserve"> reverse gap of 11-16% favouring women. </w:t>
            </w:r>
            <w:r w:rsidR="00DB39AC">
              <w:rPr>
                <w:rFonts w:ascii="Verdana" w:hAnsi="Verdana"/>
                <w:color w:val="000000"/>
              </w:rPr>
              <w:t xml:space="preserve">The </w:t>
            </w:r>
            <w:r w:rsidRPr="00195D9C">
              <w:rPr>
                <w:rFonts w:ascii="Verdana" w:hAnsi="Verdana"/>
                <w:color w:val="000000"/>
              </w:rPr>
              <w:t xml:space="preserve">Eye and Ear's </w:t>
            </w:r>
            <w:r w:rsidR="005067DE">
              <w:rPr>
                <w:rFonts w:ascii="Verdana" w:hAnsi="Verdana"/>
                <w:color w:val="000000"/>
              </w:rPr>
              <w:t>enterprise agreements</w:t>
            </w:r>
            <w:r w:rsidRPr="00195D9C">
              <w:rPr>
                <w:rFonts w:ascii="Verdana" w:hAnsi="Verdana"/>
                <w:color w:val="000000"/>
              </w:rPr>
              <w:t xml:space="preserve"> deliver equitable pay for equivalent work within comparable professional groups - the organisational gap is a composition effect driven by the approximately $213,000 difference between medical specialist and nursing mean salaries, reflecting </w:t>
            </w:r>
            <w:r w:rsidR="00B31986">
              <w:rPr>
                <w:rFonts w:ascii="Verdana" w:hAnsi="Verdana"/>
                <w:color w:val="000000"/>
              </w:rPr>
              <w:t>job valuation</w:t>
            </w:r>
            <w:r w:rsidR="00D62C4C">
              <w:rPr>
                <w:rFonts w:ascii="Verdana" w:hAnsi="Verdana"/>
                <w:color w:val="000000"/>
              </w:rPr>
              <w:t xml:space="preserve"> betwe</w:t>
            </w:r>
            <w:r w:rsidR="003D6861">
              <w:rPr>
                <w:rFonts w:ascii="Verdana" w:hAnsi="Verdana"/>
                <w:color w:val="000000"/>
              </w:rPr>
              <w:t>e</w:t>
            </w:r>
            <w:r w:rsidR="00D62C4C">
              <w:rPr>
                <w:rFonts w:ascii="Verdana" w:hAnsi="Verdana"/>
                <w:color w:val="000000"/>
              </w:rPr>
              <w:t xml:space="preserve">n enterprise agreements </w:t>
            </w:r>
            <w:r w:rsidRPr="00195D9C">
              <w:rPr>
                <w:rFonts w:ascii="Verdana" w:hAnsi="Verdana"/>
                <w:color w:val="000000"/>
              </w:rPr>
              <w:t xml:space="preserve">rather than unequal pay at </w:t>
            </w:r>
            <w:r w:rsidR="00DB39AC">
              <w:rPr>
                <w:rFonts w:ascii="Verdana" w:hAnsi="Verdana"/>
                <w:color w:val="000000"/>
              </w:rPr>
              <w:t xml:space="preserve">the </w:t>
            </w:r>
            <w:r w:rsidRPr="00195D9C">
              <w:rPr>
                <w:rFonts w:ascii="Verdana" w:hAnsi="Verdana"/>
                <w:color w:val="000000"/>
              </w:rPr>
              <w:t>Eye and Ear.</w:t>
            </w:r>
          </w:p>
          <w:p w14:paraId="44F9462C" w14:textId="77777777" w:rsidR="003B2764" w:rsidRPr="00195D9C" w:rsidRDefault="003B2764" w:rsidP="00E05481">
            <w:pPr>
              <w:contextualSpacing/>
              <w:rPr>
                <w:rFonts w:ascii="Verdana" w:hAnsi="Verdana"/>
                <w:color w:val="000000"/>
              </w:rPr>
            </w:pPr>
          </w:p>
          <w:p w14:paraId="6CFD732A" w14:textId="1BCEF48F" w:rsidR="00151C88" w:rsidRPr="00195D9C" w:rsidRDefault="00E05481" w:rsidP="00E05481">
            <w:pPr>
              <w:contextualSpacing/>
              <w:rPr>
                <w:rFonts w:ascii="Verdana" w:hAnsi="Verdana"/>
                <w:color w:val="000000"/>
              </w:rPr>
            </w:pPr>
            <w:r w:rsidRPr="00195D9C">
              <w:rPr>
                <w:rFonts w:ascii="Verdana" w:hAnsi="Verdana"/>
                <w:color w:val="000000"/>
              </w:rPr>
              <w:t>Non-Clinical (9-14% gap) is the priority area for targeted investigation. The 113 distinct role titles across 230 positions create extraordinary heterogeneity making like-for-like comparison challenging without role-level analysis. The Eye and Ear's role rationalisation work will enable more precise analysis to separate the effects of seniority concentration, penalty-rate accumulation in trades roles, and any equal pay concerns within comparable positions.</w:t>
            </w:r>
          </w:p>
        </w:tc>
      </w:tr>
      <w:tr w:rsidR="00151C88" w:rsidRPr="002112CD" w14:paraId="6CFD7354" w14:textId="77777777" w:rsidTr="3ECC7EFB">
        <w:tc>
          <w:tcPr>
            <w:tcW w:w="513" w:type="pct"/>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32C" w14:textId="77777777" w:rsidR="00151C88" w:rsidRPr="00607914" w:rsidRDefault="000C39A1" w:rsidP="00067795">
            <w:pPr>
              <w:contextualSpacing/>
              <w:rPr>
                <w:rFonts w:ascii="Verdana" w:hAnsi="Verdana"/>
              </w:rPr>
            </w:pPr>
            <w:r w:rsidRPr="00607914">
              <w:rPr>
                <w:rFonts w:ascii="Verdana" w:hAnsi="Verdana"/>
                <w:b/>
                <w:bCs/>
                <w:color w:val="000000"/>
              </w:rPr>
              <w:lastRenderedPageBreak/>
              <w:t>4</w:t>
            </w:r>
          </w:p>
        </w:tc>
        <w:tc>
          <w:tcPr>
            <w:tcW w:w="1264"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5DDEECA1" w14:textId="77777777" w:rsidR="00C2708B" w:rsidRPr="00C642C2" w:rsidRDefault="00C2708B" w:rsidP="3ECC7EFB">
            <w:pPr>
              <w:pStyle w:val="Body"/>
              <w:spacing w:after="0"/>
              <w:contextualSpacing/>
              <w:rPr>
                <w:rFonts w:ascii="Verdana" w:hAnsi="Verdana"/>
                <w:b/>
                <w:bCs/>
                <w:sz w:val="20"/>
                <w:szCs w:val="20"/>
              </w:rPr>
            </w:pPr>
            <w:r w:rsidRPr="00C642C2">
              <w:rPr>
                <w:rFonts w:ascii="Verdana" w:hAnsi="Verdana"/>
                <w:b/>
                <w:bCs/>
                <w:sz w:val="20"/>
                <w:szCs w:val="20"/>
              </w:rPr>
              <w:t>Critical performance measures</w:t>
            </w:r>
          </w:p>
          <w:p w14:paraId="49CA52D3" w14:textId="3A8EA3B0" w:rsidR="00C2708B" w:rsidRPr="00C642C2" w:rsidRDefault="00C2708B" w:rsidP="3ECC7EFB">
            <w:pPr>
              <w:pStyle w:val="Body"/>
              <w:spacing w:after="0"/>
              <w:contextualSpacing/>
              <w:rPr>
                <w:rFonts w:ascii="Verdana" w:hAnsi="Verdana"/>
                <w:b/>
                <w:bCs/>
                <w:sz w:val="20"/>
                <w:szCs w:val="20"/>
              </w:rPr>
            </w:pPr>
            <w:r w:rsidRPr="00C642C2">
              <w:rPr>
                <w:rFonts w:ascii="Verdana" w:hAnsi="Verdana"/>
                <w:b/>
                <w:bCs/>
                <w:sz w:val="20"/>
                <w:szCs w:val="20"/>
              </w:rPr>
              <w:t>PMS experience rates overall:</w:t>
            </w:r>
          </w:p>
          <w:p w14:paraId="08E3A88F" w14:textId="0D2A5EDF" w:rsidR="00C2708B" w:rsidRPr="00C642C2" w:rsidRDefault="00C2708B" w:rsidP="3ECC7EFB">
            <w:pPr>
              <w:pStyle w:val="Body"/>
              <w:spacing w:after="0"/>
              <w:contextualSpacing/>
              <w:rPr>
                <w:rFonts w:ascii="Verdana" w:hAnsi="Verdana"/>
                <w:sz w:val="20"/>
                <w:szCs w:val="20"/>
              </w:rPr>
            </w:pPr>
            <w:r w:rsidRPr="00C642C2">
              <w:rPr>
                <w:rFonts w:ascii="Verdana" w:hAnsi="Verdana"/>
                <w:sz w:val="20"/>
                <w:szCs w:val="20"/>
              </w:rPr>
              <w:t>2023: 6% 2025: 8%</w:t>
            </w:r>
          </w:p>
          <w:p w14:paraId="20C62934" w14:textId="77777777" w:rsidR="00C2708B" w:rsidRPr="00C642C2" w:rsidRDefault="00C2708B" w:rsidP="3ECC7EFB">
            <w:pPr>
              <w:pStyle w:val="Body"/>
              <w:spacing w:after="0"/>
              <w:contextualSpacing/>
              <w:rPr>
                <w:rFonts w:ascii="Verdana" w:hAnsi="Verdana"/>
                <w:sz w:val="20"/>
                <w:szCs w:val="20"/>
              </w:rPr>
            </w:pPr>
            <w:r w:rsidRPr="00C642C2">
              <w:rPr>
                <w:rFonts w:ascii="Verdana" w:hAnsi="Verdana"/>
                <w:sz w:val="20"/>
                <w:szCs w:val="20"/>
              </w:rPr>
              <w:t>Women: 2023: 7.1% 2025: 10.6%</w:t>
            </w:r>
          </w:p>
          <w:p w14:paraId="6D276CA8" w14:textId="77777777" w:rsidR="00C2708B" w:rsidRPr="00C642C2" w:rsidRDefault="00C2708B" w:rsidP="3ECC7EFB">
            <w:pPr>
              <w:pStyle w:val="Body"/>
              <w:spacing w:after="0"/>
              <w:contextualSpacing/>
              <w:rPr>
                <w:rFonts w:ascii="Verdana" w:hAnsi="Verdana"/>
                <w:sz w:val="20"/>
                <w:szCs w:val="20"/>
              </w:rPr>
            </w:pPr>
            <w:r w:rsidRPr="00C642C2">
              <w:rPr>
                <w:rFonts w:ascii="Verdana" w:hAnsi="Verdana"/>
                <w:sz w:val="20"/>
                <w:szCs w:val="20"/>
              </w:rPr>
              <w:t>Men: 2023: 2.6% 2025: 0%</w:t>
            </w:r>
          </w:p>
          <w:p w14:paraId="4DC486DB" w14:textId="77777777" w:rsidR="00C2708B" w:rsidRPr="00C642C2" w:rsidRDefault="00C2708B" w:rsidP="3ECC7EFB">
            <w:pPr>
              <w:pStyle w:val="Body"/>
              <w:spacing w:after="0"/>
              <w:contextualSpacing/>
              <w:rPr>
                <w:rFonts w:ascii="Verdana" w:hAnsi="Verdana"/>
                <w:sz w:val="20"/>
                <w:szCs w:val="20"/>
              </w:rPr>
            </w:pPr>
          </w:p>
          <w:p w14:paraId="39DFF448" w14:textId="77777777" w:rsidR="00C2708B" w:rsidRPr="00C642C2" w:rsidRDefault="00C2708B" w:rsidP="3ECC7EFB">
            <w:pPr>
              <w:pStyle w:val="Body"/>
              <w:spacing w:after="0"/>
              <w:contextualSpacing/>
              <w:rPr>
                <w:rFonts w:ascii="Verdana" w:hAnsi="Verdana"/>
                <w:b/>
                <w:bCs/>
                <w:sz w:val="20"/>
                <w:szCs w:val="20"/>
              </w:rPr>
            </w:pPr>
            <w:r w:rsidRPr="00C642C2">
              <w:rPr>
                <w:rFonts w:ascii="Verdana" w:hAnsi="Verdana"/>
                <w:b/>
                <w:bCs/>
                <w:sz w:val="20"/>
                <w:szCs w:val="20"/>
              </w:rPr>
              <w:t>Formal reports:</w:t>
            </w:r>
          </w:p>
          <w:p w14:paraId="1C804EC9" w14:textId="0E756799" w:rsidR="00C2708B" w:rsidRPr="00C642C2" w:rsidRDefault="00C2708B" w:rsidP="3ECC7EFB">
            <w:pPr>
              <w:pStyle w:val="Body"/>
              <w:spacing w:after="0"/>
              <w:contextualSpacing/>
              <w:rPr>
                <w:rFonts w:ascii="Verdana" w:hAnsi="Verdana"/>
                <w:sz w:val="20"/>
                <w:szCs w:val="20"/>
              </w:rPr>
            </w:pPr>
            <w:r w:rsidRPr="00C642C2">
              <w:rPr>
                <w:rFonts w:ascii="Verdana" w:hAnsi="Verdana"/>
                <w:sz w:val="20"/>
                <w:szCs w:val="20"/>
              </w:rPr>
              <w:t xml:space="preserve">2023: data unavailable 2025: </w:t>
            </w:r>
            <w:r w:rsidRPr="00C642C2" w:rsidDel="00ED22FA">
              <w:rPr>
                <w:rFonts w:ascii="Verdana" w:hAnsi="Verdana"/>
                <w:sz w:val="20"/>
                <w:szCs w:val="20"/>
              </w:rPr>
              <w:t>no</w:t>
            </w:r>
            <w:r w:rsidRPr="00C642C2">
              <w:rPr>
                <w:rFonts w:ascii="Verdana" w:hAnsi="Verdana"/>
                <w:sz w:val="20"/>
                <w:szCs w:val="20"/>
              </w:rPr>
              <w:t xml:space="preserve"> formal report</w:t>
            </w:r>
            <w:r w:rsidRPr="00C642C2" w:rsidDel="00F15783">
              <w:rPr>
                <w:rFonts w:ascii="Verdana" w:hAnsi="Verdana"/>
                <w:sz w:val="20"/>
                <w:szCs w:val="20"/>
              </w:rPr>
              <w:t>s</w:t>
            </w:r>
            <w:r w:rsidRPr="00C642C2">
              <w:rPr>
                <w:rFonts w:ascii="Verdana" w:hAnsi="Verdana"/>
                <w:sz w:val="20"/>
                <w:szCs w:val="20"/>
              </w:rPr>
              <w:t xml:space="preserve"> received</w:t>
            </w:r>
          </w:p>
          <w:p w14:paraId="015B4246" w14:textId="769887FD" w:rsidR="00C2708B" w:rsidRPr="00C642C2" w:rsidRDefault="00C2708B" w:rsidP="3ECC7EFB">
            <w:pPr>
              <w:pStyle w:val="Body"/>
              <w:spacing w:after="0"/>
              <w:contextualSpacing/>
              <w:rPr>
                <w:rFonts w:ascii="Verdana" w:hAnsi="Verdana"/>
                <w:sz w:val="20"/>
                <w:szCs w:val="20"/>
              </w:rPr>
            </w:pPr>
            <w:r w:rsidRPr="00C642C2">
              <w:rPr>
                <w:rFonts w:ascii="Verdana" w:hAnsi="Verdana"/>
                <w:sz w:val="20"/>
                <w:szCs w:val="20"/>
              </w:rPr>
              <w:t xml:space="preserve">Proportion who said they reported: Women 2025: 4% </w:t>
            </w:r>
            <w:r w:rsidRPr="00B26D38">
              <w:rPr>
                <w:rFonts w:ascii="Verdana" w:hAnsi="Verdana"/>
                <w:sz w:val="20"/>
                <w:szCs w:val="20"/>
              </w:rPr>
              <w:t>Men 2025</w:t>
            </w:r>
            <w:r w:rsidRPr="00C642C2">
              <w:rPr>
                <w:rFonts w:ascii="Verdana" w:hAnsi="Verdana"/>
                <w:sz w:val="20"/>
                <w:szCs w:val="20"/>
              </w:rPr>
              <w:t>: data unavailable</w:t>
            </w:r>
            <w:r w:rsidR="007531DB">
              <w:rPr>
                <w:rFonts w:ascii="Verdana" w:hAnsi="Verdana"/>
                <w:sz w:val="20"/>
                <w:szCs w:val="20"/>
              </w:rPr>
              <w:t xml:space="preserve"> (cohort too small)</w:t>
            </w:r>
          </w:p>
          <w:p w14:paraId="5782E786" w14:textId="77777777" w:rsidR="00C2708B" w:rsidRPr="00C642C2" w:rsidRDefault="00C2708B" w:rsidP="3ECC7EFB">
            <w:pPr>
              <w:pStyle w:val="Body"/>
              <w:spacing w:after="0"/>
              <w:contextualSpacing/>
              <w:rPr>
                <w:rFonts w:ascii="Verdana" w:hAnsi="Verdana"/>
                <w:sz w:val="20"/>
                <w:szCs w:val="20"/>
              </w:rPr>
            </w:pPr>
          </w:p>
          <w:p w14:paraId="4BC08F54" w14:textId="77777777" w:rsidR="00C2708B" w:rsidRPr="00C642C2" w:rsidRDefault="00C2708B" w:rsidP="3ECC7EFB">
            <w:pPr>
              <w:pStyle w:val="Body"/>
              <w:spacing w:after="0"/>
              <w:contextualSpacing/>
              <w:rPr>
                <w:rFonts w:ascii="Verdana" w:hAnsi="Verdana"/>
                <w:b/>
                <w:bCs/>
                <w:sz w:val="20"/>
                <w:szCs w:val="20"/>
              </w:rPr>
            </w:pPr>
            <w:r w:rsidRPr="00C642C2">
              <w:rPr>
                <w:rFonts w:ascii="Verdana" w:hAnsi="Verdana"/>
                <w:b/>
                <w:bCs/>
                <w:sz w:val="20"/>
                <w:szCs w:val="20"/>
              </w:rPr>
              <w:t xml:space="preserve">Top reasons for not reporting (2025, women): </w:t>
            </w:r>
          </w:p>
          <w:p w14:paraId="250A3553" w14:textId="2A6DA786" w:rsidR="00C2708B" w:rsidRPr="00C642C2" w:rsidRDefault="00C2708B" w:rsidP="3ECC7EFB">
            <w:pPr>
              <w:pStyle w:val="Body"/>
              <w:spacing w:after="0"/>
              <w:contextualSpacing/>
              <w:rPr>
                <w:rFonts w:ascii="Verdana" w:hAnsi="Verdana"/>
                <w:sz w:val="20"/>
                <w:szCs w:val="20"/>
              </w:rPr>
            </w:pPr>
            <w:r w:rsidRPr="00C642C2">
              <w:rPr>
                <w:rFonts w:ascii="Verdana" w:hAnsi="Verdana"/>
                <w:sz w:val="20"/>
                <w:szCs w:val="20"/>
              </w:rPr>
              <w:t xml:space="preserve">Didn't think it was serious enough: 45.8% Wouldn't make a difference: 37.5% No longer had contact with the person(s): 29.2% Complaint process embarrassing or difficult: 20.8% Negative consequences for my reputation: 20.8% Didn't know </w:t>
            </w:r>
            <w:r w:rsidRPr="00C642C2">
              <w:rPr>
                <w:rFonts w:ascii="Verdana" w:hAnsi="Verdana"/>
                <w:sz w:val="20"/>
                <w:szCs w:val="20"/>
              </w:rPr>
              <w:lastRenderedPageBreak/>
              <w:t>who to talk to: 8.3% Didn't feel safe to report: 4.2%</w:t>
            </w:r>
          </w:p>
          <w:p w14:paraId="7371519E" w14:textId="77777777" w:rsidR="00C2708B" w:rsidRPr="00C642C2" w:rsidRDefault="00C2708B" w:rsidP="3ECC7EFB">
            <w:pPr>
              <w:pStyle w:val="Body"/>
              <w:spacing w:after="0"/>
              <w:contextualSpacing/>
              <w:rPr>
                <w:rFonts w:ascii="Verdana" w:hAnsi="Verdana"/>
                <w:b/>
                <w:bCs/>
                <w:sz w:val="20"/>
                <w:szCs w:val="20"/>
              </w:rPr>
            </w:pPr>
          </w:p>
          <w:p w14:paraId="4481541E" w14:textId="77777777" w:rsidR="00C2708B" w:rsidRPr="00C642C2" w:rsidRDefault="00C2708B" w:rsidP="3ECC7EFB">
            <w:pPr>
              <w:pStyle w:val="Body"/>
              <w:spacing w:after="0"/>
              <w:contextualSpacing/>
              <w:rPr>
                <w:rFonts w:ascii="Verdana" w:hAnsi="Verdana"/>
                <w:b/>
                <w:bCs/>
                <w:sz w:val="20"/>
                <w:szCs w:val="20"/>
              </w:rPr>
            </w:pPr>
            <w:r w:rsidRPr="00C642C2">
              <w:rPr>
                <w:rFonts w:ascii="Verdana" w:hAnsi="Verdana"/>
                <w:b/>
                <w:bCs/>
                <w:sz w:val="20"/>
                <w:szCs w:val="20"/>
              </w:rPr>
              <w:t>Satisfaction with handling of workplace sexual harassment complaint:</w:t>
            </w:r>
          </w:p>
          <w:p w14:paraId="74C44DA9" w14:textId="3E0D6867" w:rsidR="00C2708B" w:rsidRPr="00C642C2" w:rsidRDefault="00C2708B" w:rsidP="3ECC7EFB">
            <w:pPr>
              <w:pStyle w:val="Body"/>
              <w:spacing w:after="0"/>
              <w:contextualSpacing/>
              <w:rPr>
                <w:rFonts w:ascii="Verdana" w:hAnsi="Verdana"/>
                <w:sz w:val="20"/>
                <w:szCs w:val="20"/>
              </w:rPr>
            </w:pPr>
            <w:r w:rsidRPr="00C642C2">
              <w:rPr>
                <w:rFonts w:ascii="Verdana" w:hAnsi="Verdana"/>
                <w:sz w:val="20"/>
                <w:szCs w:val="20"/>
              </w:rPr>
              <w:t xml:space="preserve">2023: data unavailable </w:t>
            </w:r>
          </w:p>
          <w:p w14:paraId="13AC65FB" w14:textId="632DF2B1" w:rsidR="00C2708B" w:rsidRPr="00C642C2" w:rsidRDefault="00C2708B" w:rsidP="3ECC7EFB">
            <w:pPr>
              <w:pStyle w:val="Body"/>
              <w:spacing w:after="0"/>
              <w:contextualSpacing/>
              <w:rPr>
                <w:rFonts w:ascii="Verdana" w:hAnsi="Verdana"/>
                <w:sz w:val="20"/>
                <w:szCs w:val="20"/>
              </w:rPr>
            </w:pPr>
            <w:r w:rsidRPr="00C642C2">
              <w:rPr>
                <w:rFonts w:ascii="Verdana" w:hAnsi="Verdana"/>
                <w:sz w:val="20"/>
                <w:szCs w:val="20"/>
              </w:rPr>
              <w:t>2025: data unavailable</w:t>
            </w:r>
          </w:p>
          <w:p w14:paraId="6CFD733D" w14:textId="7C8F8764" w:rsidR="005A67A9" w:rsidRPr="00C642C2" w:rsidRDefault="005A67A9" w:rsidP="3ECC7EFB">
            <w:pPr>
              <w:contextualSpacing/>
              <w:rPr>
                <w:rFonts w:ascii="Verdana" w:hAnsi="Verdana"/>
              </w:rPr>
            </w:pPr>
          </w:p>
        </w:tc>
        <w:tc>
          <w:tcPr>
            <w:tcW w:w="1178"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017CD3D4" w14:textId="57EFF024" w:rsidR="00C20572" w:rsidRPr="00C642C2" w:rsidRDefault="00C20572" w:rsidP="3ECC7EFB">
            <w:pPr>
              <w:contextualSpacing/>
              <w:rPr>
                <w:rFonts w:ascii="Verdana" w:hAnsi="Verdana"/>
                <w:b/>
                <w:bCs/>
              </w:rPr>
            </w:pPr>
            <w:r w:rsidRPr="00C642C2">
              <w:rPr>
                <w:rFonts w:ascii="Verdana" w:hAnsi="Verdana"/>
                <w:b/>
                <w:bCs/>
                <w:color w:val="000000" w:themeColor="text1"/>
              </w:rPr>
              <w:lastRenderedPageBreak/>
              <w:t>Source of harassment:</w:t>
            </w:r>
          </w:p>
          <w:p w14:paraId="2CD711EE" w14:textId="77777777" w:rsidR="00C20572" w:rsidRPr="00C642C2" w:rsidRDefault="00C20572" w:rsidP="3ECC7EFB">
            <w:pPr>
              <w:contextualSpacing/>
              <w:rPr>
                <w:rFonts w:ascii="Verdana" w:hAnsi="Verdana"/>
                <w:color w:val="000000"/>
              </w:rPr>
            </w:pPr>
            <w:r w:rsidRPr="00C642C2">
              <w:rPr>
                <w:rFonts w:ascii="Verdana" w:hAnsi="Verdana"/>
                <w:color w:val="000000" w:themeColor="text1"/>
              </w:rPr>
              <w:t>Patient/client perpetrated: 2023: 29% 2025: 48% (+19pp)</w:t>
            </w:r>
          </w:p>
          <w:p w14:paraId="51D7ADDB" w14:textId="77777777" w:rsidR="00C20572" w:rsidRPr="00C642C2" w:rsidRDefault="00C20572" w:rsidP="3ECC7EFB">
            <w:pPr>
              <w:contextualSpacing/>
              <w:rPr>
                <w:rFonts w:ascii="Verdana" w:hAnsi="Verdana"/>
                <w:color w:val="000000"/>
              </w:rPr>
            </w:pPr>
            <w:r w:rsidRPr="00C642C2">
              <w:rPr>
                <w:rFonts w:ascii="Verdana" w:hAnsi="Verdana"/>
                <w:color w:val="000000" w:themeColor="text1"/>
              </w:rPr>
              <w:t>Colleague perpetrated: 2023: 58% 2025: 38% (-20pp)</w:t>
            </w:r>
          </w:p>
          <w:p w14:paraId="5A357A18" w14:textId="77777777" w:rsidR="00C20572" w:rsidRPr="00C642C2" w:rsidRDefault="00C20572" w:rsidP="3ECC7EFB">
            <w:pPr>
              <w:contextualSpacing/>
              <w:rPr>
                <w:rFonts w:ascii="Verdana" w:hAnsi="Verdana"/>
                <w:color w:val="000000"/>
              </w:rPr>
            </w:pPr>
            <w:r w:rsidRPr="00C642C2">
              <w:rPr>
                <w:rFonts w:ascii="Verdana" w:hAnsi="Verdana"/>
                <w:color w:val="000000" w:themeColor="text1"/>
              </w:rPr>
              <w:t>Manager/supervisor perpetrated: 2023: 8% 2025: 14% (+6pp)</w:t>
            </w:r>
          </w:p>
          <w:p w14:paraId="5153D5A9" w14:textId="77777777" w:rsidR="00C20572" w:rsidRPr="00C642C2" w:rsidRDefault="00C20572" w:rsidP="3ECC7EFB">
            <w:pPr>
              <w:contextualSpacing/>
              <w:rPr>
                <w:rFonts w:ascii="Verdana" w:hAnsi="Verdana"/>
                <w:color w:val="000000"/>
              </w:rPr>
            </w:pPr>
          </w:p>
          <w:p w14:paraId="051B4032" w14:textId="599EDED2" w:rsidR="00772528" w:rsidRPr="00C642C2" w:rsidRDefault="00772528" w:rsidP="3ECC7EFB">
            <w:pPr>
              <w:contextualSpacing/>
              <w:rPr>
                <w:rFonts w:ascii="Verdana" w:hAnsi="Verdana"/>
              </w:rPr>
            </w:pPr>
            <w:r w:rsidRPr="00C642C2">
              <w:rPr>
                <w:rFonts w:ascii="Verdana" w:hAnsi="Verdana"/>
                <w:b/>
                <w:bCs/>
              </w:rPr>
              <w:t>Marginalised groups most affected (sexual harassment prevalence):</w:t>
            </w:r>
            <w:r w:rsidRPr="00C642C2">
              <w:rPr>
                <w:rFonts w:ascii="Verdana" w:hAnsi="Verdana"/>
              </w:rPr>
              <w:t xml:space="preserve"> LGBTQIA+: </w:t>
            </w:r>
            <w:r w:rsidR="00CA2026">
              <w:rPr>
                <w:rFonts w:ascii="Verdana" w:hAnsi="Verdana"/>
              </w:rPr>
              <w:t>24</w:t>
            </w:r>
            <w:r w:rsidRPr="00C642C2">
              <w:rPr>
                <w:rFonts w:ascii="Verdana" w:hAnsi="Verdana"/>
              </w:rPr>
              <w:t xml:space="preserve">% </w:t>
            </w:r>
            <w:r w:rsidR="23A69477" w:rsidRPr="1810170B">
              <w:rPr>
                <w:rFonts w:ascii="Verdana" w:hAnsi="Verdana"/>
              </w:rPr>
              <w:t>(</w:t>
            </w:r>
            <w:r w:rsidR="00065A28" w:rsidRPr="003A38B8">
              <w:rPr>
                <w:rFonts w:ascii="Verdana" w:hAnsi="Verdana"/>
              </w:rPr>
              <w:t xml:space="preserve">up from </w:t>
            </w:r>
            <w:r w:rsidR="00497E22" w:rsidRPr="003A38B8">
              <w:rPr>
                <w:rFonts w:ascii="Verdana" w:hAnsi="Verdana"/>
              </w:rPr>
              <w:t>6% in 2023</w:t>
            </w:r>
            <w:r w:rsidR="00065A28" w:rsidRPr="003A38B8">
              <w:rPr>
                <w:rFonts w:ascii="Verdana" w:hAnsi="Verdana"/>
              </w:rPr>
              <w:t>)</w:t>
            </w:r>
            <w:r w:rsidR="003A38B8">
              <w:rPr>
                <w:rFonts w:ascii="Verdana" w:hAnsi="Verdana"/>
              </w:rPr>
              <w:t xml:space="preserve"> </w:t>
            </w:r>
            <w:r w:rsidRPr="00C642C2">
              <w:rPr>
                <w:rFonts w:ascii="Verdana" w:hAnsi="Verdana"/>
              </w:rPr>
              <w:t>Age 25-34: 29% (up from 11% in 2023) People with disability: 23% (up from 17%) Women on fixed-term contracts: 29%</w:t>
            </w:r>
          </w:p>
          <w:p w14:paraId="56D661BC" w14:textId="0D2CABAC" w:rsidR="00C53A81" w:rsidRPr="00C642C2" w:rsidRDefault="00772528" w:rsidP="3ECC7EFB">
            <w:pPr>
              <w:contextualSpacing/>
              <w:rPr>
                <w:rFonts w:ascii="Verdana" w:hAnsi="Verdana"/>
              </w:rPr>
            </w:pPr>
            <w:r w:rsidRPr="00C642C2">
              <w:rPr>
                <w:rFonts w:ascii="Verdana" w:hAnsi="Verdana"/>
                <w:b/>
                <w:bCs/>
              </w:rPr>
              <w:t>Confidence in organisational response (% agreeing organisation takes steps to eliminate bullying/harassment):</w:t>
            </w:r>
            <w:r w:rsidRPr="00C642C2">
              <w:rPr>
                <w:rFonts w:ascii="Verdana" w:hAnsi="Verdana"/>
              </w:rPr>
              <w:t xml:space="preserve"> LGBTQIA+: </w:t>
            </w:r>
            <w:r w:rsidR="005F1533">
              <w:rPr>
                <w:rFonts w:ascii="Verdana" w:hAnsi="Verdana"/>
              </w:rPr>
              <w:t>64</w:t>
            </w:r>
            <w:r w:rsidRPr="00C642C2">
              <w:rPr>
                <w:rFonts w:ascii="Verdana" w:hAnsi="Verdana"/>
              </w:rPr>
              <w:t>%</w:t>
            </w:r>
          </w:p>
          <w:p w14:paraId="017A7E62" w14:textId="519C8630" w:rsidR="00772528" w:rsidRPr="00C642C2" w:rsidRDefault="00772528" w:rsidP="3ECC7EFB">
            <w:pPr>
              <w:contextualSpacing/>
              <w:rPr>
                <w:rFonts w:ascii="Verdana" w:hAnsi="Verdana"/>
              </w:rPr>
            </w:pPr>
            <w:r w:rsidRPr="00C642C2">
              <w:rPr>
                <w:rFonts w:ascii="Verdana" w:hAnsi="Verdana"/>
              </w:rPr>
              <w:t xml:space="preserve">People with disability: 54% (12pp below average) Below $80k earners: 56% (10pp below </w:t>
            </w:r>
            <w:r w:rsidRPr="00C642C2">
              <w:rPr>
                <w:rFonts w:ascii="Verdana" w:hAnsi="Verdana"/>
              </w:rPr>
              <w:lastRenderedPageBreak/>
              <w:t xml:space="preserve">average) Age </w:t>
            </w:r>
            <w:r w:rsidR="00B54F48">
              <w:rPr>
                <w:rFonts w:ascii="Verdana" w:hAnsi="Verdana"/>
              </w:rPr>
              <w:t>25</w:t>
            </w:r>
            <w:r w:rsidRPr="00C642C2">
              <w:rPr>
                <w:rFonts w:ascii="Verdana" w:hAnsi="Verdana"/>
              </w:rPr>
              <w:t xml:space="preserve">-34: </w:t>
            </w:r>
            <w:r w:rsidR="00D26386" w:rsidRPr="00C642C2">
              <w:rPr>
                <w:rFonts w:ascii="Verdana" w:hAnsi="Verdana"/>
              </w:rPr>
              <w:t>5</w:t>
            </w:r>
            <w:r w:rsidR="00D26386">
              <w:rPr>
                <w:rFonts w:ascii="Verdana" w:hAnsi="Verdana"/>
              </w:rPr>
              <w:t>4</w:t>
            </w:r>
            <w:r w:rsidRPr="00C642C2">
              <w:rPr>
                <w:rFonts w:ascii="Verdana" w:hAnsi="Verdana"/>
              </w:rPr>
              <w:t>% (</w:t>
            </w:r>
            <w:r w:rsidR="009A3D3A">
              <w:rPr>
                <w:rFonts w:ascii="Verdana" w:hAnsi="Verdana"/>
              </w:rPr>
              <w:t>11</w:t>
            </w:r>
            <w:r w:rsidR="009A3D3A" w:rsidRPr="00C642C2">
              <w:rPr>
                <w:rFonts w:ascii="Verdana" w:hAnsi="Verdana"/>
              </w:rPr>
              <w:t>pp</w:t>
            </w:r>
            <w:r w:rsidRPr="00C642C2">
              <w:rPr>
                <w:rFonts w:ascii="Verdana" w:hAnsi="Verdana"/>
              </w:rPr>
              <w:t xml:space="preserve"> below average)</w:t>
            </w:r>
          </w:p>
          <w:p w14:paraId="6CFD734F" w14:textId="77777777" w:rsidR="00151C88" w:rsidRPr="00C642C2" w:rsidRDefault="00151C88" w:rsidP="3ECC7EFB">
            <w:pPr>
              <w:contextualSpacing/>
              <w:rPr>
                <w:rFonts w:ascii="Verdana" w:hAnsi="Verdana"/>
              </w:rPr>
            </w:pPr>
          </w:p>
          <w:p w14:paraId="6CFD7351" w14:textId="209AE0D8" w:rsidR="00151C88" w:rsidRPr="00C642C2" w:rsidRDefault="00151C88" w:rsidP="3ECC7EFB">
            <w:pPr>
              <w:contextualSpacing/>
              <w:rPr>
                <w:rFonts w:ascii="Verdana" w:hAnsi="Verdana"/>
              </w:rPr>
            </w:pPr>
          </w:p>
        </w:tc>
        <w:tc>
          <w:tcPr>
            <w:tcW w:w="524" w:type="pct"/>
            <w:tcBorders>
              <w:top w:val="single" w:sz="4" w:space="0" w:color="CCCCCC"/>
              <w:left w:val="single" w:sz="4" w:space="0" w:color="CCCCCC"/>
              <w:bottom w:val="single" w:sz="4" w:space="0" w:color="CCCCCC"/>
              <w:right w:val="single" w:sz="4" w:space="0" w:color="CCCCCC"/>
            </w:tcBorders>
            <w:shd w:val="clear" w:color="auto" w:fill="FCE4D6"/>
            <w:tcMar>
              <w:top w:w="60" w:type="dxa"/>
              <w:left w:w="100" w:type="dxa"/>
              <w:bottom w:w="60" w:type="dxa"/>
              <w:right w:w="100" w:type="dxa"/>
            </w:tcMar>
          </w:tcPr>
          <w:p w14:paraId="6CFD7352" w14:textId="77777777" w:rsidR="00151C88" w:rsidRPr="00607914" w:rsidRDefault="000C39A1" w:rsidP="3ECC7EFB">
            <w:pPr>
              <w:contextualSpacing/>
              <w:jc w:val="center"/>
              <w:rPr>
                <w:rFonts w:ascii="Verdana" w:hAnsi="Verdana"/>
              </w:rPr>
            </w:pPr>
            <w:r w:rsidRPr="3ECC7EFB">
              <w:rPr>
                <w:rFonts w:ascii="Verdana" w:hAnsi="Verdana"/>
                <w:b/>
                <w:bCs/>
                <w:color w:val="000000" w:themeColor="text1"/>
              </w:rPr>
              <w:lastRenderedPageBreak/>
              <w:t>No</w:t>
            </w:r>
          </w:p>
        </w:tc>
        <w:tc>
          <w:tcPr>
            <w:tcW w:w="1520"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4CBAB335" w14:textId="5F1A8316" w:rsidR="009974A3" w:rsidRDefault="00B90ED9" w:rsidP="3ECC7EFB">
            <w:pPr>
              <w:contextualSpacing/>
              <w:rPr>
                <w:rFonts w:ascii="Verdana" w:hAnsi="Verdana"/>
                <w:color w:val="000000" w:themeColor="text1"/>
              </w:rPr>
            </w:pPr>
            <w:r w:rsidRPr="00C642C2">
              <w:rPr>
                <w:rFonts w:ascii="Verdana" w:hAnsi="Verdana"/>
                <w:color w:val="000000" w:themeColor="text1"/>
              </w:rPr>
              <w:t>Progress has not been demonstrated. The anonymous experience rate</w:t>
            </w:r>
            <w:r w:rsidR="00B54897">
              <w:rPr>
                <w:rFonts w:ascii="Verdana" w:hAnsi="Verdana"/>
                <w:color w:val="000000" w:themeColor="text1"/>
              </w:rPr>
              <w:t xml:space="preserve"> in the </w:t>
            </w:r>
            <w:r w:rsidR="00106817">
              <w:rPr>
                <w:rFonts w:ascii="Verdana" w:hAnsi="Verdana"/>
                <w:color w:val="000000" w:themeColor="text1"/>
              </w:rPr>
              <w:t xml:space="preserve">PMS </w:t>
            </w:r>
            <w:r w:rsidR="00106817" w:rsidRPr="00C642C2">
              <w:rPr>
                <w:rFonts w:ascii="Verdana" w:hAnsi="Verdana"/>
                <w:color w:val="000000" w:themeColor="text1"/>
              </w:rPr>
              <w:t>increased</w:t>
            </w:r>
            <w:r w:rsidRPr="00C642C2">
              <w:rPr>
                <w:rFonts w:ascii="Verdana" w:hAnsi="Verdana"/>
                <w:color w:val="000000" w:themeColor="text1"/>
              </w:rPr>
              <w:t xml:space="preserve"> from 6% to 8%, with women's rate rising from 7.1% to 10.6%. While </w:t>
            </w:r>
            <w:r w:rsidR="00C642C2">
              <w:rPr>
                <w:rFonts w:ascii="Verdana" w:hAnsi="Verdana"/>
                <w:color w:val="000000" w:themeColor="text1"/>
              </w:rPr>
              <w:t xml:space="preserve">the </w:t>
            </w:r>
            <w:r w:rsidRPr="00C642C2">
              <w:rPr>
                <w:rFonts w:ascii="Verdana" w:hAnsi="Verdana"/>
                <w:color w:val="000000" w:themeColor="text1"/>
              </w:rPr>
              <w:t xml:space="preserve">Eye and Ear's </w:t>
            </w:r>
            <w:r w:rsidR="001B4F94">
              <w:rPr>
                <w:rFonts w:ascii="Verdana" w:hAnsi="Verdana"/>
                <w:color w:val="000000" w:themeColor="text1"/>
              </w:rPr>
              <w:t>overall rate</w:t>
            </w:r>
            <w:r w:rsidR="00B950A0">
              <w:rPr>
                <w:rFonts w:ascii="Verdana" w:hAnsi="Verdana"/>
                <w:color w:val="000000" w:themeColor="text1"/>
              </w:rPr>
              <w:t xml:space="preserve"> </w:t>
            </w:r>
            <w:r w:rsidR="00C01405">
              <w:rPr>
                <w:rFonts w:ascii="Verdana" w:hAnsi="Verdana"/>
                <w:color w:val="000000" w:themeColor="text1"/>
              </w:rPr>
              <w:t xml:space="preserve">remains </w:t>
            </w:r>
            <w:r w:rsidR="00C01405" w:rsidRPr="00C642C2">
              <w:rPr>
                <w:rFonts w:ascii="Verdana" w:hAnsi="Verdana"/>
                <w:color w:val="000000" w:themeColor="text1"/>
              </w:rPr>
              <w:t>below</w:t>
            </w:r>
            <w:r w:rsidRPr="00C642C2">
              <w:rPr>
                <w:rFonts w:ascii="Verdana" w:hAnsi="Verdana"/>
                <w:color w:val="000000" w:themeColor="text1"/>
              </w:rPr>
              <w:t xml:space="preserve"> the comparator group average of 10%, it exceeds the public sector average of 5% and represents a 33% relative increase over two years. </w:t>
            </w:r>
          </w:p>
          <w:p w14:paraId="6BE0A149" w14:textId="77777777" w:rsidR="009974A3" w:rsidRDefault="009974A3" w:rsidP="3ECC7EFB">
            <w:pPr>
              <w:contextualSpacing/>
              <w:rPr>
                <w:rFonts w:ascii="Verdana" w:hAnsi="Verdana"/>
                <w:color w:val="000000" w:themeColor="text1"/>
              </w:rPr>
            </w:pPr>
          </w:p>
          <w:p w14:paraId="7420B893" w14:textId="77777777" w:rsidR="009974A3" w:rsidRDefault="00B90ED9" w:rsidP="3ECC7EFB">
            <w:pPr>
              <w:contextualSpacing/>
              <w:rPr>
                <w:rFonts w:ascii="Verdana" w:hAnsi="Verdana"/>
                <w:color w:val="000000" w:themeColor="text1"/>
              </w:rPr>
            </w:pPr>
            <w:r w:rsidRPr="00C642C2">
              <w:rPr>
                <w:rFonts w:ascii="Verdana" w:hAnsi="Verdana"/>
                <w:color w:val="000000" w:themeColor="text1"/>
              </w:rPr>
              <w:t xml:space="preserve">The shift in harassment sources - from colleague-perpetrated to patient/client-perpetrated (now 48%) - reflects </w:t>
            </w:r>
            <w:r w:rsidR="002E6999">
              <w:rPr>
                <w:rFonts w:ascii="Verdana" w:hAnsi="Verdana"/>
                <w:color w:val="000000" w:themeColor="text1"/>
              </w:rPr>
              <w:t xml:space="preserve">the </w:t>
            </w:r>
            <w:r w:rsidRPr="00C642C2">
              <w:rPr>
                <w:rFonts w:ascii="Verdana" w:hAnsi="Verdana"/>
                <w:color w:val="000000" w:themeColor="text1"/>
              </w:rPr>
              <w:t xml:space="preserve">Eye and Ear's frontline healthcare context, where traditional workplace frameworks do not easily apply. </w:t>
            </w:r>
          </w:p>
          <w:p w14:paraId="19DA27D6" w14:textId="77777777" w:rsidR="009974A3" w:rsidRDefault="009974A3" w:rsidP="3ECC7EFB">
            <w:pPr>
              <w:contextualSpacing/>
              <w:rPr>
                <w:rFonts w:ascii="Verdana" w:hAnsi="Verdana"/>
                <w:color w:val="000000" w:themeColor="text1"/>
              </w:rPr>
            </w:pPr>
          </w:p>
          <w:p w14:paraId="0AD7A665" w14:textId="5FD0C9DE" w:rsidR="009974A3" w:rsidRDefault="00B90ED9" w:rsidP="3ECC7EFB">
            <w:pPr>
              <w:contextualSpacing/>
              <w:rPr>
                <w:rFonts w:ascii="Verdana" w:hAnsi="Verdana"/>
                <w:color w:val="000000" w:themeColor="text1"/>
              </w:rPr>
            </w:pPr>
            <w:r w:rsidRPr="00C642C2">
              <w:rPr>
                <w:rFonts w:ascii="Verdana" w:hAnsi="Verdana"/>
                <w:color w:val="000000" w:themeColor="text1"/>
              </w:rPr>
              <w:t>The increase in manager/supervisor harassment (8% to 14%</w:t>
            </w:r>
            <w:r w:rsidR="00215B26">
              <w:rPr>
                <w:rFonts w:ascii="Verdana" w:hAnsi="Verdana"/>
                <w:color w:val="000000" w:themeColor="text1"/>
              </w:rPr>
              <w:t xml:space="preserve"> of total</w:t>
            </w:r>
            <w:r w:rsidRPr="00C642C2">
              <w:rPr>
                <w:rFonts w:ascii="Verdana" w:hAnsi="Verdana"/>
                <w:color w:val="000000" w:themeColor="text1"/>
              </w:rPr>
              <w:t xml:space="preserve">) requires targeted intervention. </w:t>
            </w:r>
          </w:p>
          <w:p w14:paraId="4F231847" w14:textId="77777777" w:rsidR="009974A3" w:rsidRDefault="009974A3" w:rsidP="3ECC7EFB">
            <w:pPr>
              <w:contextualSpacing/>
              <w:rPr>
                <w:rFonts w:ascii="Verdana" w:hAnsi="Verdana"/>
                <w:color w:val="000000" w:themeColor="text1"/>
              </w:rPr>
            </w:pPr>
          </w:p>
          <w:p w14:paraId="43DA9B8B" w14:textId="1D17956A" w:rsidR="009974A3" w:rsidRDefault="00B90ED9" w:rsidP="3ECC7EFB">
            <w:pPr>
              <w:contextualSpacing/>
              <w:rPr>
                <w:rFonts w:ascii="Verdana" w:hAnsi="Verdana"/>
                <w:color w:val="000000" w:themeColor="text1"/>
              </w:rPr>
            </w:pPr>
            <w:r w:rsidRPr="00C642C2" w:rsidDel="00D064B1">
              <w:rPr>
                <w:rFonts w:ascii="Verdana" w:hAnsi="Verdana"/>
                <w:color w:val="000000" w:themeColor="text1"/>
              </w:rPr>
              <w:t>No</w:t>
            </w:r>
            <w:r w:rsidRPr="00C642C2">
              <w:rPr>
                <w:rFonts w:ascii="Verdana" w:hAnsi="Verdana"/>
                <w:color w:val="000000" w:themeColor="text1"/>
              </w:rPr>
              <w:t xml:space="preserve"> formal report</w:t>
            </w:r>
            <w:r w:rsidRPr="00C642C2" w:rsidDel="00D064B1">
              <w:rPr>
                <w:rFonts w:ascii="Verdana" w:hAnsi="Verdana"/>
                <w:color w:val="000000" w:themeColor="text1"/>
              </w:rPr>
              <w:t>s</w:t>
            </w:r>
            <w:r w:rsidRPr="00C642C2">
              <w:rPr>
                <w:rFonts w:ascii="Verdana" w:hAnsi="Verdana"/>
                <w:color w:val="000000" w:themeColor="text1"/>
              </w:rPr>
              <w:t xml:space="preserve"> </w:t>
            </w:r>
            <w:r w:rsidRPr="00C642C2" w:rsidDel="00D064B1">
              <w:rPr>
                <w:rFonts w:ascii="Verdana" w:hAnsi="Verdana"/>
                <w:color w:val="000000" w:themeColor="text1"/>
              </w:rPr>
              <w:t>were</w:t>
            </w:r>
            <w:r w:rsidR="00D064B1" w:rsidRPr="00C642C2">
              <w:rPr>
                <w:rFonts w:ascii="Verdana" w:hAnsi="Verdana"/>
                <w:color w:val="000000" w:themeColor="text1"/>
              </w:rPr>
              <w:t xml:space="preserve"> </w:t>
            </w:r>
            <w:r w:rsidRPr="00C642C2">
              <w:rPr>
                <w:rFonts w:ascii="Verdana" w:hAnsi="Verdana"/>
                <w:color w:val="000000" w:themeColor="text1"/>
              </w:rPr>
              <w:t>received during the reporting period despite 3% of those experiencing harassment believing they had submitted a formal complaint</w:t>
            </w:r>
            <w:r w:rsidR="007F5317">
              <w:rPr>
                <w:rFonts w:ascii="Verdana" w:hAnsi="Verdana"/>
                <w:color w:val="000000" w:themeColor="text1"/>
              </w:rPr>
              <w:t>. T</w:t>
            </w:r>
            <w:r w:rsidRPr="00C642C2">
              <w:rPr>
                <w:rFonts w:ascii="Verdana" w:hAnsi="Verdana"/>
                <w:color w:val="000000" w:themeColor="text1"/>
              </w:rPr>
              <w:t xml:space="preserve">he primary </w:t>
            </w:r>
            <w:r w:rsidR="002409E2">
              <w:rPr>
                <w:rFonts w:ascii="Verdana" w:hAnsi="Verdana"/>
                <w:color w:val="000000" w:themeColor="text1"/>
              </w:rPr>
              <w:lastRenderedPageBreak/>
              <w:t xml:space="preserve">reporting </w:t>
            </w:r>
            <w:r w:rsidRPr="00C642C2">
              <w:rPr>
                <w:rFonts w:ascii="Verdana" w:hAnsi="Verdana"/>
                <w:color w:val="000000" w:themeColor="text1"/>
              </w:rPr>
              <w:t xml:space="preserve">barrier shifted to 'it wouldn't make a difference' (37.5%), indicating erosion of confidence in organisational response. </w:t>
            </w:r>
          </w:p>
          <w:p w14:paraId="7DC91F4F" w14:textId="77777777" w:rsidR="009974A3" w:rsidRDefault="009974A3" w:rsidP="3ECC7EFB">
            <w:pPr>
              <w:contextualSpacing/>
              <w:rPr>
                <w:rFonts w:ascii="Verdana" w:hAnsi="Verdana"/>
                <w:color w:val="000000" w:themeColor="text1"/>
              </w:rPr>
            </w:pPr>
          </w:p>
          <w:p w14:paraId="61E42038" w14:textId="2C457E33" w:rsidR="005E38E6" w:rsidRDefault="00156D49" w:rsidP="3ECC7EFB">
            <w:pPr>
              <w:contextualSpacing/>
              <w:rPr>
                <w:rFonts w:ascii="Verdana" w:hAnsi="Verdana"/>
                <w:color w:val="000000" w:themeColor="text1"/>
              </w:rPr>
            </w:pPr>
            <w:r w:rsidRPr="00156D49">
              <w:rPr>
                <w:rFonts w:ascii="Verdana" w:hAnsi="Verdana"/>
                <w:color w:val="000000" w:themeColor="text1"/>
              </w:rPr>
              <w:t>Importantly, the 8% organisational experience rate reflects a composition average rather than evenly distributed risk. Disaggregated analysis shows harassment is concentrated within specific demographic groups, including LGBTQIA+ employees, younger employees, people with disability, and lower</w:t>
            </w:r>
            <w:r w:rsidRPr="00156D49">
              <w:rPr>
                <w:rFonts w:ascii="Cambria Math" w:hAnsi="Cambria Math" w:cs="Cambria Math"/>
                <w:color w:val="000000" w:themeColor="text1"/>
              </w:rPr>
              <w:t>‑</w:t>
            </w:r>
            <w:r w:rsidRPr="00156D49">
              <w:rPr>
                <w:rFonts w:ascii="Verdana" w:hAnsi="Verdana"/>
                <w:color w:val="000000" w:themeColor="text1"/>
              </w:rPr>
              <w:t>paid employees. The absence of demonstrated progress on this indicator therefore reflects concentrated harm rather than uniform experience and directly informs the targeted, disaggregated actions included in the 2026–2030 GEAP</w:t>
            </w:r>
            <w:r w:rsidR="00757526" w:rsidRPr="00757526">
              <w:rPr>
                <w:rFonts w:ascii="Verdana" w:hAnsi="Verdana"/>
                <w:color w:val="000000" w:themeColor="text1"/>
              </w:rPr>
              <w:t>.</w:t>
            </w:r>
          </w:p>
          <w:p w14:paraId="45A702D1" w14:textId="77777777" w:rsidR="00757526" w:rsidRDefault="00757526" w:rsidP="3ECC7EFB">
            <w:pPr>
              <w:contextualSpacing/>
              <w:rPr>
                <w:rFonts w:ascii="Verdana" w:hAnsi="Verdana"/>
                <w:color w:val="000000" w:themeColor="text1"/>
              </w:rPr>
            </w:pPr>
          </w:p>
          <w:p w14:paraId="6CFD7353" w14:textId="5AB29DF3" w:rsidR="00151C88" w:rsidRPr="00C642C2" w:rsidRDefault="00151C88" w:rsidP="3ECC7EFB">
            <w:pPr>
              <w:contextualSpacing/>
              <w:rPr>
                <w:rFonts w:ascii="Verdana" w:hAnsi="Verdana"/>
                <w:color w:val="000000" w:themeColor="text1"/>
              </w:rPr>
            </w:pPr>
          </w:p>
        </w:tc>
      </w:tr>
      <w:tr w:rsidR="00151C88" w:rsidRPr="002112CD" w14:paraId="6CFD737C" w14:textId="77777777" w:rsidTr="3ECC7EFB">
        <w:tc>
          <w:tcPr>
            <w:tcW w:w="513" w:type="pct"/>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355" w14:textId="77777777" w:rsidR="00151C88" w:rsidRPr="00607914" w:rsidRDefault="000C39A1" w:rsidP="00067795">
            <w:pPr>
              <w:contextualSpacing/>
              <w:rPr>
                <w:rFonts w:ascii="Verdana" w:hAnsi="Verdana"/>
              </w:rPr>
            </w:pPr>
            <w:r w:rsidRPr="00607914">
              <w:rPr>
                <w:rFonts w:ascii="Verdana" w:hAnsi="Verdana"/>
                <w:b/>
                <w:bCs/>
                <w:color w:val="000000"/>
              </w:rPr>
              <w:lastRenderedPageBreak/>
              <w:t>5</w:t>
            </w:r>
          </w:p>
        </w:tc>
        <w:tc>
          <w:tcPr>
            <w:tcW w:w="1264"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5F635A25" w14:textId="5581C762" w:rsidR="005A67A9" w:rsidRPr="00607914" w:rsidRDefault="005A67A9" w:rsidP="00067795">
            <w:pPr>
              <w:pStyle w:val="Body"/>
              <w:spacing w:after="0" w:line="240" w:lineRule="auto"/>
              <w:contextualSpacing/>
              <w:rPr>
                <w:rFonts w:ascii="Verdana" w:hAnsi="Verdana"/>
                <w:bCs/>
                <w:sz w:val="20"/>
                <w:szCs w:val="20"/>
                <w:lang w:eastAsia="en-AU"/>
              </w:rPr>
            </w:pPr>
            <w:r w:rsidRPr="00607914">
              <w:rPr>
                <w:rFonts w:ascii="Verdana" w:hAnsi="Verdana"/>
                <w:b/>
                <w:sz w:val="20"/>
                <w:szCs w:val="20"/>
              </w:rPr>
              <w:t>Critical</w:t>
            </w:r>
            <w:r w:rsidRPr="00607914">
              <w:rPr>
                <w:rStyle w:val="Strong"/>
                <w:rFonts w:ascii="Verdana" w:eastAsiaTheme="minorHAnsi" w:hAnsi="Verdana"/>
                <w:b w:val="0"/>
              </w:rPr>
              <w:t xml:space="preserve"> </w:t>
            </w:r>
            <w:r w:rsidRPr="00607914">
              <w:rPr>
                <w:rStyle w:val="Strong"/>
                <w:rFonts w:ascii="Verdana" w:eastAsiaTheme="minorHAnsi" w:hAnsi="Verdana"/>
                <w:bCs w:val="0"/>
              </w:rPr>
              <w:t>performance</w:t>
            </w:r>
            <w:r w:rsidRPr="00607914">
              <w:rPr>
                <w:rStyle w:val="Strong"/>
                <w:rFonts w:ascii="Verdana" w:eastAsiaTheme="minorHAnsi" w:hAnsi="Verdana"/>
                <w:b w:val="0"/>
              </w:rPr>
              <w:t xml:space="preserve"> </w:t>
            </w:r>
            <w:r w:rsidRPr="00607914">
              <w:rPr>
                <w:rStyle w:val="Strong"/>
                <w:rFonts w:ascii="Verdana" w:eastAsiaTheme="minorHAnsi" w:hAnsi="Verdana"/>
              </w:rPr>
              <w:t>measures</w:t>
            </w:r>
          </w:p>
          <w:p w14:paraId="6CFD7356" w14:textId="01601DC9" w:rsidR="00151C88" w:rsidRPr="00607914" w:rsidRDefault="000C39A1" w:rsidP="00067795">
            <w:pPr>
              <w:contextualSpacing/>
              <w:rPr>
                <w:rFonts w:ascii="Verdana" w:hAnsi="Verdana"/>
              </w:rPr>
            </w:pPr>
            <w:r w:rsidRPr="00607914">
              <w:rPr>
                <w:rFonts w:ascii="Verdana" w:hAnsi="Verdana"/>
                <w:color w:val="000000"/>
              </w:rPr>
              <w:t>Gender composition of new recruits:</w:t>
            </w:r>
          </w:p>
          <w:p w14:paraId="6CFD7357" w14:textId="4F116272" w:rsidR="00151C88" w:rsidRPr="00607914" w:rsidRDefault="000C39A1" w:rsidP="00067795">
            <w:pPr>
              <w:contextualSpacing/>
              <w:rPr>
                <w:rFonts w:ascii="Verdana" w:hAnsi="Verdana"/>
              </w:rPr>
            </w:pPr>
            <w:r w:rsidRPr="00607914">
              <w:rPr>
                <w:rFonts w:ascii="Verdana" w:hAnsi="Verdana"/>
                <w:color w:val="000000"/>
              </w:rPr>
              <w:t>2023: Women 64.7%, Men 33.9%</w:t>
            </w:r>
          </w:p>
          <w:p w14:paraId="6CFD7358" w14:textId="68FA94DD" w:rsidR="00151C88" w:rsidRPr="00607914" w:rsidRDefault="000C39A1" w:rsidP="00067795">
            <w:pPr>
              <w:contextualSpacing/>
              <w:rPr>
                <w:rFonts w:ascii="Verdana" w:hAnsi="Verdana"/>
              </w:rPr>
            </w:pPr>
            <w:r w:rsidRPr="00607914">
              <w:rPr>
                <w:rFonts w:ascii="Verdana" w:hAnsi="Verdana"/>
                <w:color w:val="000000"/>
              </w:rPr>
              <w:t>2025: Women 57.7%, Men 41.4%</w:t>
            </w:r>
          </w:p>
          <w:p w14:paraId="6CFD7359" w14:textId="77777777" w:rsidR="00151C88" w:rsidRPr="00607914" w:rsidRDefault="00151C88" w:rsidP="00067795">
            <w:pPr>
              <w:contextualSpacing/>
              <w:rPr>
                <w:rFonts w:ascii="Verdana" w:hAnsi="Verdana"/>
              </w:rPr>
            </w:pPr>
          </w:p>
          <w:p w14:paraId="6CFD735A" w14:textId="77777777" w:rsidR="00151C88" w:rsidRPr="00607914" w:rsidRDefault="000C39A1" w:rsidP="00067795">
            <w:pPr>
              <w:contextualSpacing/>
              <w:rPr>
                <w:rFonts w:ascii="Verdana" w:hAnsi="Verdana"/>
              </w:rPr>
            </w:pPr>
            <w:r w:rsidRPr="00607914">
              <w:rPr>
                <w:rFonts w:ascii="Verdana" w:hAnsi="Verdana"/>
                <w:color w:val="000000"/>
              </w:rPr>
              <w:t>Gender composition of promotions:</w:t>
            </w:r>
          </w:p>
          <w:p w14:paraId="6CFD735B" w14:textId="1AF5B0F9" w:rsidR="00151C88" w:rsidRPr="00607914" w:rsidRDefault="00C20572" w:rsidP="3ECC7EFB">
            <w:pPr>
              <w:contextualSpacing/>
              <w:rPr>
                <w:rFonts w:ascii="Verdana" w:hAnsi="Verdana"/>
              </w:rPr>
            </w:pPr>
            <w:r w:rsidRPr="3ECC7EFB">
              <w:rPr>
                <w:rFonts w:ascii="Verdana" w:hAnsi="Verdana"/>
                <w:color w:val="000000" w:themeColor="text1"/>
              </w:rPr>
              <w:t>2</w:t>
            </w:r>
            <w:r w:rsidR="000C39A1" w:rsidRPr="3ECC7EFB">
              <w:rPr>
                <w:rFonts w:ascii="Verdana" w:hAnsi="Verdana"/>
                <w:color w:val="000000" w:themeColor="text1"/>
              </w:rPr>
              <w:t xml:space="preserve">025: </w:t>
            </w:r>
            <w:r w:rsidR="000C39A1" w:rsidRPr="00EE0C44">
              <w:rPr>
                <w:rFonts w:ascii="Verdana" w:hAnsi="Verdana"/>
                <w:color w:val="000000" w:themeColor="text1"/>
              </w:rPr>
              <w:t>Women 84.4%, Men 15.6%</w:t>
            </w:r>
          </w:p>
          <w:p w14:paraId="6CFD735D" w14:textId="77777777" w:rsidR="00151C88" w:rsidRPr="00607914" w:rsidRDefault="00151C88" w:rsidP="00067795">
            <w:pPr>
              <w:contextualSpacing/>
              <w:rPr>
                <w:rFonts w:ascii="Verdana" w:hAnsi="Verdana"/>
              </w:rPr>
            </w:pPr>
          </w:p>
          <w:p w14:paraId="648B54FD" w14:textId="77777777" w:rsidR="001F1D85" w:rsidRPr="00607914" w:rsidRDefault="001F1D85" w:rsidP="001F1D85">
            <w:pPr>
              <w:contextualSpacing/>
              <w:rPr>
                <w:rFonts w:ascii="Verdana" w:hAnsi="Verdana"/>
                <w:color w:val="000000"/>
              </w:rPr>
            </w:pPr>
            <w:r w:rsidRPr="00607914">
              <w:rPr>
                <w:rFonts w:ascii="Verdana" w:hAnsi="Verdana"/>
                <w:color w:val="000000"/>
              </w:rPr>
              <w:t>Recruitment processes perceived as fair: 2023: Women 68%, Men 75% 2025: Women 56%, Men 74%</w:t>
            </w:r>
          </w:p>
          <w:p w14:paraId="39206DEF" w14:textId="77777777" w:rsidR="001F1D85" w:rsidRPr="00607914" w:rsidRDefault="001F1D85" w:rsidP="001F1D85">
            <w:pPr>
              <w:contextualSpacing/>
              <w:rPr>
                <w:rFonts w:ascii="Verdana" w:hAnsi="Verdana"/>
                <w:color w:val="000000"/>
              </w:rPr>
            </w:pPr>
          </w:p>
          <w:p w14:paraId="50484BB8" w14:textId="77777777" w:rsidR="001F1D85" w:rsidRPr="00607914" w:rsidRDefault="001F1D85" w:rsidP="001F1D85">
            <w:pPr>
              <w:contextualSpacing/>
              <w:rPr>
                <w:rFonts w:ascii="Verdana" w:hAnsi="Verdana"/>
                <w:color w:val="000000"/>
              </w:rPr>
            </w:pPr>
            <w:r w:rsidRPr="00607914">
              <w:rPr>
                <w:rFonts w:ascii="Verdana" w:hAnsi="Verdana"/>
                <w:color w:val="000000"/>
              </w:rPr>
              <w:t>Promotion processes perceived as fair: 2023: Women 50%, Men 57% 2025: Women 44%, Men 58%</w:t>
            </w:r>
          </w:p>
          <w:p w14:paraId="6CFD7364" w14:textId="7A3C7E57" w:rsidR="00151C88" w:rsidRPr="00607914" w:rsidRDefault="00151C88" w:rsidP="3ECC7EFB">
            <w:pPr>
              <w:contextualSpacing/>
              <w:rPr>
                <w:rFonts w:ascii="Verdana" w:hAnsi="Verdana"/>
                <w:color w:val="000000" w:themeColor="text1"/>
              </w:rPr>
            </w:pPr>
          </w:p>
        </w:tc>
        <w:tc>
          <w:tcPr>
            <w:tcW w:w="1178"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6CFD7365" w14:textId="77777777" w:rsidR="00151C88" w:rsidRPr="00607914" w:rsidRDefault="000C39A1" w:rsidP="00067795">
            <w:pPr>
              <w:contextualSpacing/>
              <w:rPr>
                <w:rFonts w:ascii="Verdana" w:hAnsi="Verdana"/>
                <w:b/>
                <w:bCs/>
              </w:rPr>
            </w:pPr>
            <w:r w:rsidRPr="00607914">
              <w:rPr>
                <w:rFonts w:ascii="Verdana" w:hAnsi="Verdana"/>
                <w:b/>
                <w:bCs/>
                <w:color w:val="000000"/>
              </w:rPr>
              <w:t>Recruitment by occupational group (2025):</w:t>
            </w:r>
          </w:p>
          <w:p w14:paraId="6CFD7366" w14:textId="06672048" w:rsidR="00151C88" w:rsidRPr="00607914" w:rsidRDefault="00040762" w:rsidP="00067795">
            <w:pPr>
              <w:contextualSpacing/>
              <w:rPr>
                <w:rFonts w:ascii="Verdana" w:hAnsi="Verdana"/>
              </w:rPr>
            </w:pPr>
            <w:r>
              <w:rPr>
                <w:rFonts w:ascii="Verdana" w:hAnsi="Verdana"/>
                <w:color w:val="000000"/>
              </w:rPr>
              <w:t>Allied Health</w:t>
            </w:r>
            <w:r w:rsidR="000C39A1" w:rsidRPr="00607914">
              <w:rPr>
                <w:rFonts w:ascii="Verdana" w:hAnsi="Verdana"/>
                <w:color w:val="000000"/>
              </w:rPr>
              <w:t xml:space="preserve">: 83% W </w:t>
            </w:r>
          </w:p>
          <w:p w14:paraId="6CFD7367" w14:textId="1B1F4E1E" w:rsidR="00151C88" w:rsidRPr="00607914" w:rsidRDefault="000C39A1" w:rsidP="00067795">
            <w:pPr>
              <w:contextualSpacing/>
              <w:rPr>
                <w:rFonts w:ascii="Verdana" w:hAnsi="Verdana"/>
              </w:rPr>
            </w:pPr>
            <w:r w:rsidRPr="00607914">
              <w:rPr>
                <w:rFonts w:ascii="Verdana" w:hAnsi="Verdana"/>
                <w:color w:val="000000"/>
              </w:rPr>
              <w:t xml:space="preserve">Medical: 41% W </w:t>
            </w:r>
          </w:p>
          <w:p w14:paraId="6CFD7368" w14:textId="1B99B264" w:rsidR="00151C88" w:rsidRPr="00607914" w:rsidRDefault="000C39A1" w:rsidP="00067795">
            <w:pPr>
              <w:contextualSpacing/>
              <w:rPr>
                <w:rFonts w:ascii="Verdana" w:hAnsi="Verdana"/>
              </w:rPr>
            </w:pPr>
            <w:r w:rsidRPr="00607914">
              <w:rPr>
                <w:rFonts w:ascii="Verdana" w:hAnsi="Verdana"/>
                <w:color w:val="000000"/>
              </w:rPr>
              <w:t xml:space="preserve">Nursing: 78% W </w:t>
            </w:r>
          </w:p>
          <w:p w14:paraId="6CFD7369" w14:textId="7833A91F" w:rsidR="00151C88" w:rsidRPr="00607914" w:rsidRDefault="000C39A1" w:rsidP="00067795">
            <w:pPr>
              <w:contextualSpacing/>
              <w:rPr>
                <w:rFonts w:ascii="Verdana" w:hAnsi="Verdana"/>
              </w:rPr>
            </w:pPr>
            <w:r w:rsidRPr="00607914">
              <w:rPr>
                <w:rFonts w:ascii="Verdana" w:hAnsi="Verdana"/>
                <w:color w:val="000000"/>
              </w:rPr>
              <w:t xml:space="preserve">Non-Clinical: 70% W </w:t>
            </w:r>
          </w:p>
          <w:p w14:paraId="6CFD736A" w14:textId="77777777" w:rsidR="00151C88" w:rsidRPr="00607914" w:rsidRDefault="00151C88" w:rsidP="00067795">
            <w:pPr>
              <w:contextualSpacing/>
              <w:rPr>
                <w:rFonts w:ascii="Verdana" w:hAnsi="Verdana"/>
              </w:rPr>
            </w:pPr>
          </w:p>
          <w:p w14:paraId="6CFD736B" w14:textId="77777777" w:rsidR="00151C88" w:rsidRPr="00607914" w:rsidRDefault="000C39A1" w:rsidP="00067795">
            <w:pPr>
              <w:contextualSpacing/>
              <w:rPr>
                <w:rFonts w:ascii="Verdana" w:hAnsi="Verdana"/>
                <w:b/>
                <w:bCs/>
              </w:rPr>
            </w:pPr>
            <w:r w:rsidRPr="00607914">
              <w:rPr>
                <w:rFonts w:ascii="Verdana" w:hAnsi="Verdana"/>
                <w:b/>
                <w:bCs/>
                <w:color w:val="000000"/>
              </w:rPr>
              <w:t>Promotion by occupational group (2025):</w:t>
            </w:r>
          </w:p>
          <w:p w14:paraId="6CFD736C" w14:textId="757432F3" w:rsidR="00151C88" w:rsidRPr="00607914" w:rsidRDefault="00040762" w:rsidP="00067795">
            <w:pPr>
              <w:contextualSpacing/>
              <w:rPr>
                <w:rFonts w:ascii="Verdana" w:hAnsi="Verdana"/>
              </w:rPr>
            </w:pPr>
            <w:r>
              <w:rPr>
                <w:rFonts w:ascii="Verdana" w:hAnsi="Verdana"/>
                <w:color w:val="000000"/>
              </w:rPr>
              <w:t>Allied Health</w:t>
            </w:r>
            <w:r w:rsidR="000C39A1" w:rsidRPr="00607914">
              <w:rPr>
                <w:rFonts w:ascii="Verdana" w:hAnsi="Verdana"/>
                <w:color w:val="000000"/>
              </w:rPr>
              <w:t>: 92% W (10% of W promoted vs 3% M)</w:t>
            </w:r>
          </w:p>
          <w:p w14:paraId="6CFD736D" w14:textId="06DC0F3D" w:rsidR="00151C88" w:rsidRPr="00607914" w:rsidRDefault="000C39A1" w:rsidP="00067795">
            <w:pPr>
              <w:contextualSpacing/>
              <w:rPr>
                <w:rFonts w:ascii="Verdana" w:hAnsi="Verdana"/>
              </w:rPr>
            </w:pPr>
            <w:r w:rsidRPr="00607914">
              <w:rPr>
                <w:rFonts w:ascii="Verdana" w:hAnsi="Verdana"/>
                <w:color w:val="000000"/>
              </w:rPr>
              <w:t>Medical: 0 formal promotions (credential pathway)</w:t>
            </w:r>
          </w:p>
          <w:p w14:paraId="6CFD736E" w14:textId="37B6599D" w:rsidR="00151C88" w:rsidRPr="00607914" w:rsidRDefault="000C39A1" w:rsidP="00067795">
            <w:pPr>
              <w:contextualSpacing/>
              <w:rPr>
                <w:rFonts w:ascii="Verdana" w:hAnsi="Verdana"/>
              </w:rPr>
            </w:pPr>
            <w:r w:rsidRPr="00607914">
              <w:rPr>
                <w:rFonts w:ascii="Verdana" w:hAnsi="Verdana"/>
                <w:color w:val="000000"/>
              </w:rPr>
              <w:t>Nursing: 82% W (3% of W promoted vs 5% M)</w:t>
            </w:r>
          </w:p>
          <w:p w14:paraId="6CFD736F" w14:textId="413B5612" w:rsidR="00151C88" w:rsidRPr="00607914" w:rsidRDefault="000C39A1" w:rsidP="00067795">
            <w:pPr>
              <w:contextualSpacing/>
              <w:rPr>
                <w:rFonts w:ascii="Verdana" w:hAnsi="Verdana"/>
              </w:rPr>
            </w:pPr>
            <w:r w:rsidRPr="00607914">
              <w:rPr>
                <w:rFonts w:ascii="Verdana" w:hAnsi="Verdana"/>
                <w:color w:val="000000"/>
              </w:rPr>
              <w:t>Non-Clinical: 75% W (4% of W promoted vs 3% M)</w:t>
            </w:r>
          </w:p>
          <w:p w14:paraId="0C0FABD1" w14:textId="77777777" w:rsidR="00C6558D" w:rsidRPr="00607914" w:rsidRDefault="00C6558D" w:rsidP="00067795">
            <w:pPr>
              <w:contextualSpacing/>
              <w:rPr>
                <w:rFonts w:ascii="Verdana" w:hAnsi="Verdana"/>
              </w:rPr>
            </w:pPr>
          </w:p>
          <w:p w14:paraId="6CFD7376" w14:textId="77777777" w:rsidR="00151C88" w:rsidRPr="00607914" w:rsidRDefault="000C39A1" w:rsidP="00067795">
            <w:pPr>
              <w:contextualSpacing/>
              <w:rPr>
                <w:rFonts w:ascii="Verdana" w:hAnsi="Verdana"/>
                <w:b/>
                <w:bCs/>
              </w:rPr>
            </w:pPr>
            <w:r w:rsidRPr="00607914">
              <w:rPr>
                <w:rFonts w:ascii="Verdana" w:hAnsi="Verdana"/>
                <w:b/>
                <w:bCs/>
                <w:color w:val="000000"/>
              </w:rPr>
              <w:t>Intersectional gaps in promotion fairness perceptions:</w:t>
            </w:r>
          </w:p>
          <w:p w14:paraId="6CFD7377" w14:textId="788BDB49" w:rsidR="00151C88" w:rsidRPr="00607914" w:rsidRDefault="000C39A1" w:rsidP="00067795">
            <w:pPr>
              <w:contextualSpacing/>
              <w:rPr>
                <w:rFonts w:ascii="Verdana" w:hAnsi="Verdana"/>
              </w:rPr>
            </w:pPr>
            <w:r w:rsidRPr="00607914">
              <w:rPr>
                <w:rFonts w:ascii="Verdana" w:hAnsi="Verdana"/>
                <w:color w:val="000000"/>
              </w:rPr>
              <w:t xml:space="preserve">People with disability: 31% </w:t>
            </w:r>
            <w:r w:rsidR="00262DAD">
              <w:rPr>
                <w:rFonts w:ascii="Verdana" w:hAnsi="Verdana"/>
                <w:color w:val="000000"/>
              </w:rPr>
              <w:br/>
            </w:r>
            <w:r w:rsidRPr="00607914">
              <w:rPr>
                <w:rFonts w:ascii="Verdana" w:hAnsi="Verdana"/>
                <w:color w:val="000000"/>
              </w:rPr>
              <w:t>(-17pp below avg)</w:t>
            </w:r>
          </w:p>
          <w:p w14:paraId="6CFD7379" w14:textId="7CF0ACC5" w:rsidR="00151C88" w:rsidRPr="00607914" w:rsidRDefault="000C39A1" w:rsidP="00067795">
            <w:pPr>
              <w:contextualSpacing/>
              <w:rPr>
                <w:rFonts w:ascii="Verdana" w:hAnsi="Verdana"/>
              </w:rPr>
            </w:pPr>
            <w:r w:rsidRPr="00607914">
              <w:rPr>
                <w:rFonts w:ascii="Verdana" w:hAnsi="Verdana"/>
                <w:color w:val="000000"/>
              </w:rPr>
              <w:t>Below $80k earners: 36% (-12pp below avg)</w:t>
            </w:r>
          </w:p>
        </w:tc>
        <w:tc>
          <w:tcPr>
            <w:tcW w:w="524" w:type="pct"/>
            <w:tcBorders>
              <w:top w:val="single" w:sz="4" w:space="0" w:color="CCCCCC"/>
              <w:left w:val="single" w:sz="4" w:space="0" w:color="CCCCCC"/>
              <w:bottom w:val="single" w:sz="4" w:space="0" w:color="CCCCCC"/>
              <w:right w:val="single" w:sz="4" w:space="0" w:color="CCCCCC"/>
            </w:tcBorders>
            <w:shd w:val="clear" w:color="auto" w:fill="E2EFDA"/>
            <w:tcMar>
              <w:top w:w="60" w:type="dxa"/>
              <w:left w:w="100" w:type="dxa"/>
              <w:bottom w:w="60" w:type="dxa"/>
              <w:right w:w="100" w:type="dxa"/>
            </w:tcMar>
          </w:tcPr>
          <w:p w14:paraId="6CFD737A" w14:textId="77777777" w:rsidR="00151C88" w:rsidRPr="00607914" w:rsidRDefault="000C39A1" w:rsidP="00067795">
            <w:pPr>
              <w:contextualSpacing/>
              <w:jc w:val="center"/>
              <w:rPr>
                <w:rFonts w:ascii="Verdana" w:hAnsi="Verdana"/>
              </w:rPr>
            </w:pPr>
            <w:r w:rsidRPr="00607914">
              <w:rPr>
                <w:rFonts w:ascii="Verdana" w:hAnsi="Verdana"/>
                <w:b/>
                <w:bCs/>
                <w:color w:val="000000"/>
              </w:rPr>
              <w:lastRenderedPageBreak/>
              <w:t>Yes</w:t>
            </w:r>
          </w:p>
        </w:tc>
        <w:tc>
          <w:tcPr>
            <w:tcW w:w="1520"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1D02EEAF" w14:textId="77777777" w:rsidR="00B74851" w:rsidRPr="00B74851" w:rsidRDefault="00B74851" w:rsidP="00B74851">
            <w:pPr>
              <w:contextualSpacing/>
              <w:rPr>
                <w:rFonts w:ascii="Verdana" w:hAnsi="Verdana"/>
              </w:rPr>
            </w:pPr>
            <w:r w:rsidRPr="00B74851">
              <w:rPr>
                <w:rFonts w:ascii="Verdana" w:hAnsi="Verdana"/>
              </w:rPr>
              <w:t>Recruitment practices maintain women's representation at 61% of active recruits (119 of 195). The Commission's audit data shows women's share of appointments declining from 64.7% to 57.7%; however, the 2025 figure includes 27 employees who withdrew before census, 18 of whom were medical registrars on fixed rotational terms. Medical recruitment shows near-parity (41% women among active recruits), reflecting improving training pipeline demographics.</w:t>
            </w:r>
          </w:p>
          <w:p w14:paraId="148B758F" w14:textId="77777777" w:rsidR="00B74851" w:rsidRPr="00B74851" w:rsidRDefault="00B74851" w:rsidP="00B74851">
            <w:pPr>
              <w:contextualSpacing/>
              <w:rPr>
                <w:rFonts w:ascii="Verdana" w:hAnsi="Verdana"/>
              </w:rPr>
            </w:pPr>
          </w:p>
          <w:p w14:paraId="4529BB73" w14:textId="77777777" w:rsidR="00B74851" w:rsidRPr="00B74851" w:rsidRDefault="00B74851" w:rsidP="00B74851">
            <w:pPr>
              <w:contextualSpacing/>
              <w:rPr>
                <w:rFonts w:ascii="Verdana" w:hAnsi="Verdana"/>
              </w:rPr>
            </w:pPr>
            <w:r w:rsidRPr="00B74851">
              <w:rPr>
                <w:rFonts w:ascii="Verdana" w:hAnsi="Verdana"/>
              </w:rPr>
              <w:t xml:space="preserve">Women access formal promotion and higher duties at rates exceeding their workforce representation (84.4% of promotions despite 64% workforce share). However, </w:t>
            </w:r>
            <w:r w:rsidRPr="00B74851">
              <w:rPr>
                <w:rFonts w:ascii="Verdana" w:hAnsi="Verdana"/>
              </w:rPr>
              <w:lastRenderedPageBreak/>
              <w:t>traditional promotion metrics mischaracterise career progression in specialist healthcare. Clinical professional development is extensive but largely invisible in internal HR systems - a data gap the next GEAP will address.</w:t>
            </w:r>
          </w:p>
          <w:p w14:paraId="6D091612" w14:textId="77777777" w:rsidR="00B74851" w:rsidRPr="00B74851" w:rsidRDefault="00B74851" w:rsidP="00B74851">
            <w:pPr>
              <w:contextualSpacing/>
              <w:rPr>
                <w:rFonts w:ascii="Verdana" w:hAnsi="Verdana"/>
              </w:rPr>
            </w:pPr>
          </w:p>
          <w:p w14:paraId="6EF7148E" w14:textId="3EEA8BDC" w:rsidR="00B74851" w:rsidRPr="00B74851" w:rsidRDefault="00B74851" w:rsidP="00B74851">
            <w:pPr>
              <w:contextualSpacing/>
              <w:rPr>
                <w:rFonts w:ascii="Verdana" w:hAnsi="Verdana"/>
              </w:rPr>
            </w:pPr>
            <w:r w:rsidRPr="00B74851">
              <w:rPr>
                <w:rFonts w:ascii="Verdana" w:hAnsi="Verdana"/>
              </w:rPr>
              <w:t xml:space="preserve">Structural challenges remain. Fairness perceptions are declining despite improving outcomes, with women's confidence in recruitment fairness falling from 68.0% to 56.2% and promotion fairness from 50.2% to 43.8%. Overall formal promotion rates are low, reflecting limited advancement opportunities within </w:t>
            </w:r>
            <w:r w:rsidR="00010F74">
              <w:rPr>
                <w:rFonts w:ascii="Verdana" w:hAnsi="Verdana"/>
              </w:rPr>
              <w:t xml:space="preserve">a </w:t>
            </w:r>
            <w:r w:rsidR="00C95314">
              <w:rPr>
                <w:rFonts w:ascii="Verdana" w:hAnsi="Verdana"/>
              </w:rPr>
              <w:t>stable headcount</w:t>
            </w:r>
            <w:r w:rsidRPr="00B74851">
              <w:rPr>
                <w:rFonts w:ascii="Verdana" w:hAnsi="Verdana"/>
              </w:rPr>
              <w:t>, a flat organisational structure, and low workforce turnover. For many clinical employees, moving into leadership means ceasing to practise their profession, limiting both the appeal and availability of traditional upward career movement. Addressing perception gaps requires improving transparency about how career progression operates across occupational groups.</w:t>
            </w:r>
          </w:p>
          <w:p w14:paraId="6CFD737B" w14:textId="00E11C93" w:rsidR="00151C88" w:rsidRPr="00607914" w:rsidRDefault="00151C88" w:rsidP="00067795">
            <w:pPr>
              <w:contextualSpacing/>
              <w:rPr>
                <w:rFonts w:ascii="Verdana" w:hAnsi="Verdana"/>
              </w:rPr>
            </w:pPr>
          </w:p>
        </w:tc>
      </w:tr>
      <w:tr w:rsidR="00151C88" w:rsidRPr="002112CD" w14:paraId="6CFD73AB" w14:textId="77777777" w:rsidTr="3ECC7EFB">
        <w:tc>
          <w:tcPr>
            <w:tcW w:w="513" w:type="pct"/>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37D" w14:textId="77777777" w:rsidR="00151C88" w:rsidRPr="00607914" w:rsidRDefault="000C39A1" w:rsidP="00067795">
            <w:pPr>
              <w:contextualSpacing/>
              <w:rPr>
                <w:rFonts w:ascii="Verdana" w:hAnsi="Verdana"/>
              </w:rPr>
            </w:pPr>
            <w:r w:rsidRPr="00607914">
              <w:rPr>
                <w:rFonts w:ascii="Verdana" w:hAnsi="Verdana"/>
                <w:b/>
                <w:bCs/>
                <w:color w:val="000000"/>
              </w:rPr>
              <w:lastRenderedPageBreak/>
              <w:t>6</w:t>
            </w:r>
          </w:p>
        </w:tc>
        <w:tc>
          <w:tcPr>
            <w:tcW w:w="1264"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12BB8B38" w14:textId="77777777" w:rsidR="00086A0B" w:rsidRPr="00066E0E" w:rsidRDefault="00086A0B" w:rsidP="00086A0B">
            <w:pPr>
              <w:pStyle w:val="Body"/>
              <w:contextualSpacing/>
              <w:rPr>
                <w:rFonts w:ascii="Verdana" w:hAnsi="Verdana"/>
                <w:b/>
                <w:sz w:val="20"/>
                <w:szCs w:val="20"/>
              </w:rPr>
            </w:pPr>
            <w:r w:rsidRPr="00066E0E">
              <w:rPr>
                <w:rFonts w:ascii="Verdana" w:hAnsi="Verdana"/>
                <w:b/>
                <w:sz w:val="20"/>
                <w:szCs w:val="20"/>
              </w:rPr>
              <w:t>Critical performance measures</w:t>
            </w:r>
          </w:p>
          <w:p w14:paraId="3FD8A774" w14:textId="77777777" w:rsidR="00086A0B" w:rsidRPr="00066E0E" w:rsidRDefault="00086A0B" w:rsidP="00086A0B">
            <w:pPr>
              <w:pStyle w:val="Body"/>
              <w:contextualSpacing/>
              <w:rPr>
                <w:rFonts w:ascii="Verdana" w:hAnsi="Verdana"/>
                <w:b/>
                <w:sz w:val="20"/>
                <w:szCs w:val="20"/>
              </w:rPr>
            </w:pPr>
            <w:r w:rsidRPr="00066E0E">
              <w:rPr>
                <w:rFonts w:ascii="Verdana" w:hAnsi="Verdana"/>
                <w:b/>
                <w:sz w:val="20"/>
                <w:szCs w:val="20"/>
              </w:rPr>
              <w:t>Average weeks parental leave:</w:t>
            </w:r>
          </w:p>
          <w:p w14:paraId="759CEB3F" w14:textId="77777777" w:rsidR="00086A0B" w:rsidRPr="00066E0E" w:rsidRDefault="00086A0B" w:rsidP="3ECC7EFB">
            <w:pPr>
              <w:pStyle w:val="Body"/>
              <w:contextualSpacing/>
              <w:rPr>
                <w:rFonts w:ascii="Verdana" w:hAnsi="Verdana"/>
                <w:sz w:val="20"/>
                <w:szCs w:val="20"/>
              </w:rPr>
            </w:pPr>
            <w:r w:rsidRPr="00066E0E">
              <w:rPr>
                <w:rFonts w:ascii="Verdana" w:hAnsi="Verdana"/>
                <w:sz w:val="20"/>
                <w:szCs w:val="20"/>
              </w:rPr>
              <w:t>Women 2025: 20.8 weeks</w:t>
            </w:r>
          </w:p>
          <w:p w14:paraId="1FF9D57C" w14:textId="77777777" w:rsidR="00086A0B" w:rsidRPr="00066E0E" w:rsidRDefault="00086A0B" w:rsidP="3ECC7EFB">
            <w:pPr>
              <w:pStyle w:val="Body"/>
              <w:contextualSpacing/>
              <w:rPr>
                <w:rFonts w:ascii="Verdana" w:hAnsi="Verdana"/>
                <w:sz w:val="20"/>
                <w:szCs w:val="20"/>
              </w:rPr>
            </w:pPr>
            <w:r w:rsidRPr="00066E0E">
              <w:rPr>
                <w:rFonts w:ascii="Verdana" w:hAnsi="Verdana"/>
                <w:sz w:val="20"/>
                <w:szCs w:val="20"/>
              </w:rPr>
              <w:t>Men 2025: 2.3 weeks</w:t>
            </w:r>
          </w:p>
          <w:p w14:paraId="3486070B" w14:textId="77777777" w:rsidR="00086A0B" w:rsidRPr="00066E0E" w:rsidRDefault="00086A0B" w:rsidP="00086A0B">
            <w:pPr>
              <w:pStyle w:val="Body"/>
              <w:contextualSpacing/>
              <w:rPr>
                <w:rFonts w:ascii="Verdana" w:hAnsi="Verdana"/>
                <w:b/>
                <w:sz w:val="20"/>
                <w:szCs w:val="20"/>
              </w:rPr>
            </w:pPr>
          </w:p>
          <w:p w14:paraId="4E7FCACA" w14:textId="77777777" w:rsidR="00086A0B" w:rsidRPr="00066E0E" w:rsidRDefault="00086A0B" w:rsidP="00086A0B">
            <w:pPr>
              <w:pStyle w:val="Body"/>
              <w:contextualSpacing/>
              <w:rPr>
                <w:rFonts w:ascii="Verdana" w:hAnsi="Verdana"/>
                <w:b/>
                <w:sz w:val="20"/>
                <w:szCs w:val="20"/>
              </w:rPr>
            </w:pPr>
            <w:r w:rsidRPr="00066E0E">
              <w:rPr>
                <w:rFonts w:ascii="Verdana" w:hAnsi="Verdana"/>
                <w:b/>
                <w:sz w:val="20"/>
                <w:szCs w:val="20"/>
              </w:rPr>
              <w:t>Formal flexible work uptake:</w:t>
            </w:r>
          </w:p>
          <w:p w14:paraId="179391EF" w14:textId="77777777" w:rsidR="00086A0B" w:rsidRPr="00066E0E" w:rsidRDefault="00086A0B" w:rsidP="3ECC7EFB">
            <w:pPr>
              <w:pStyle w:val="Body"/>
              <w:contextualSpacing/>
              <w:rPr>
                <w:rFonts w:ascii="Verdana" w:hAnsi="Verdana"/>
                <w:sz w:val="20"/>
                <w:szCs w:val="20"/>
              </w:rPr>
            </w:pPr>
            <w:r w:rsidRPr="00066E0E">
              <w:rPr>
                <w:rFonts w:ascii="Verdana" w:hAnsi="Verdana"/>
                <w:sz w:val="20"/>
                <w:szCs w:val="20"/>
              </w:rPr>
              <w:t>Women 2025: 3.3%</w:t>
            </w:r>
          </w:p>
          <w:p w14:paraId="13523C8B" w14:textId="77777777" w:rsidR="00086A0B" w:rsidRPr="00066E0E" w:rsidRDefault="00086A0B" w:rsidP="3ECC7EFB">
            <w:pPr>
              <w:pStyle w:val="Body"/>
              <w:contextualSpacing/>
              <w:rPr>
                <w:rFonts w:ascii="Verdana" w:hAnsi="Verdana"/>
                <w:sz w:val="20"/>
                <w:szCs w:val="20"/>
              </w:rPr>
            </w:pPr>
            <w:r w:rsidRPr="00066E0E">
              <w:rPr>
                <w:rFonts w:ascii="Verdana" w:hAnsi="Verdana"/>
                <w:sz w:val="20"/>
                <w:szCs w:val="20"/>
              </w:rPr>
              <w:t>Men 2025: 0.9%</w:t>
            </w:r>
          </w:p>
          <w:p w14:paraId="54E9553F" w14:textId="77777777" w:rsidR="00086A0B" w:rsidRPr="00066E0E" w:rsidRDefault="00086A0B" w:rsidP="3ECC7EFB">
            <w:pPr>
              <w:pStyle w:val="Body"/>
              <w:contextualSpacing/>
              <w:rPr>
                <w:rFonts w:ascii="Verdana" w:hAnsi="Verdana"/>
                <w:sz w:val="20"/>
                <w:szCs w:val="20"/>
              </w:rPr>
            </w:pPr>
            <w:r w:rsidRPr="00066E0E">
              <w:rPr>
                <w:rFonts w:ascii="Verdana" w:hAnsi="Verdana"/>
                <w:sz w:val="20"/>
                <w:szCs w:val="20"/>
              </w:rPr>
              <w:t>2023: data unavailable</w:t>
            </w:r>
          </w:p>
          <w:p w14:paraId="70C6DE4E" w14:textId="03138CF4" w:rsidR="00086A0B" w:rsidRPr="00066E0E" w:rsidRDefault="00086A0B" w:rsidP="00086A0B">
            <w:pPr>
              <w:pStyle w:val="Body"/>
              <w:contextualSpacing/>
              <w:rPr>
                <w:rFonts w:ascii="Verdana" w:hAnsi="Verdana"/>
                <w:b/>
                <w:sz w:val="20"/>
                <w:szCs w:val="20"/>
              </w:rPr>
            </w:pPr>
          </w:p>
          <w:p w14:paraId="1A7A5886" w14:textId="77777777" w:rsidR="00086A0B" w:rsidRPr="00066E0E" w:rsidRDefault="00086A0B" w:rsidP="00086A0B">
            <w:pPr>
              <w:pStyle w:val="Body"/>
              <w:contextualSpacing/>
              <w:rPr>
                <w:rFonts w:ascii="Verdana" w:hAnsi="Verdana"/>
                <w:b/>
                <w:sz w:val="20"/>
                <w:szCs w:val="20"/>
              </w:rPr>
            </w:pPr>
            <w:r w:rsidRPr="00066E0E">
              <w:rPr>
                <w:rFonts w:ascii="Verdana" w:hAnsi="Verdana"/>
                <w:b/>
                <w:sz w:val="20"/>
                <w:szCs w:val="20"/>
              </w:rPr>
              <w:lastRenderedPageBreak/>
              <w:t>Confidence that flexible work requests would receive due consideration:</w:t>
            </w:r>
          </w:p>
          <w:p w14:paraId="62A2BAE9" w14:textId="77777777" w:rsidR="00086A0B" w:rsidRPr="00066E0E" w:rsidRDefault="00086A0B" w:rsidP="3ECC7EFB">
            <w:pPr>
              <w:pStyle w:val="Body"/>
              <w:contextualSpacing/>
              <w:rPr>
                <w:rFonts w:ascii="Verdana" w:hAnsi="Verdana"/>
                <w:sz w:val="20"/>
                <w:szCs w:val="20"/>
              </w:rPr>
            </w:pPr>
            <w:r w:rsidRPr="00066E0E">
              <w:rPr>
                <w:rFonts w:ascii="Verdana" w:hAnsi="Verdana"/>
                <w:sz w:val="20"/>
                <w:szCs w:val="20"/>
              </w:rPr>
              <w:t>2023: Women 61.3%, Men 71.4%</w:t>
            </w:r>
          </w:p>
          <w:p w14:paraId="17E95942" w14:textId="77777777" w:rsidR="00086A0B" w:rsidRPr="00066E0E" w:rsidRDefault="00086A0B" w:rsidP="3ECC7EFB">
            <w:pPr>
              <w:pStyle w:val="Body"/>
              <w:contextualSpacing/>
              <w:rPr>
                <w:rFonts w:ascii="Verdana" w:hAnsi="Verdana"/>
                <w:sz w:val="20"/>
                <w:szCs w:val="20"/>
              </w:rPr>
            </w:pPr>
            <w:r w:rsidRPr="00066E0E">
              <w:rPr>
                <w:rFonts w:ascii="Verdana" w:hAnsi="Verdana"/>
                <w:sz w:val="20"/>
                <w:szCs w:val="20"/>
              </w:rPr>
              <w:t>2025: Women 60.0%, Men 81.6%</w:t>
            </w:r>
          </w:p>
          <w:p w14:paraId="6CE2BFA5" w14:textId="77777777" w:rsidR="00086A0B" w:rsidRPr="00066E0E" w:rsidRDefault="00086A0B" w:rsidP="00086A0B">
            <w:pPr>
              <w:pStyle w:val="Body"/>
              <w:contextualSpacing/>
              <w:rPr>
                <w:rFonts w:ascii="Verdana" w:hAnsi="Verdana"/>
                <w:b/>
                <w:sz w:val="20"/>
                <w:szCs w:val="20"/>
              </w:rPr>
            </w:pPr>
          </w:p>
          <w:p w14:paraId="6E11FFEE" w14:textId="77777777" w:rsidR="00086A0B" w:rsidRPr="00066E0E" w:rsidRDefault="00086A0B" w:rsidP="00086A0B">
            <w:pPr>
              <w:pStyle w:val="Body"/>
              <w:contextualSpacing/>
              <w:rPr>
                <w:rFonts w:ascii="Verdana" w:hAnsi="Verdana"/>
                <w:b/>
                <w:sz w:val="20"/>
                <w:szCs w:val="20"/>
              </w:rPr>
            </w:pPr>
            <w:r w:rsidRPr="00066E0E">
              <w:rPr>
                <w:rFonts w:ascii="Verdana" w:hAnsi="Verdana"/>
                <w:b/>
                <w:sz w:val="20"/>
                <w:szCs w:val="20"/>
              </w:rPr>
              <w:t>Supplementary:</w:t>
            </w:r>
          </w:p>
          <w:p w14:paraId="0AF89584" w14:textId="43A2993A" w:rsidR="00086A0B" w:rsidRPr="00066E0E" w:rsidRDefault="00086A0B" w:rsidP="00086A0B">
            <w:pPr>
              <w:pStyle w:val="Body"/>
              <w:contextualSpacing/>
              <w:rPr>
                <w:rFonts w:ascii="Verdana" w:hAnsi="Verdana"/>
                <w:b/>
                <w:sz w:val="20"/>
                <w:szCs w:val="20"/>
              </w:rPr>
            </w:pPr>
            <w:r w:rsidRPr="00066E0E">
              <w:rPr>
                <w:rFonts w:ascii="Verdana" w:hAnsi="Verdana"/>
                <w:b/>
                <w:sz w:val="20"/>
                <w:szCs w:val="20"/>
              </w:rPr>
              <w:t xml:space="preserve">Parental leave takers 2025: </w:t>
            </w:r>
          </w:p>
          <w:p w14:paraId="43944E30" w14:textId="1BA7AF30" w:rsidR="00086A0B" w:rsidRPr="00066E0E" w:rsidRDefault="00086A0B" w:rsidP="00086A0B">
            <w:pPr>
              <w:pStyle w:val="Body"/>
              <w:contextualSpacing/>
              <w:rPr>
                <w:rFonts w:ascii="Verdana" w:hAnsi="Verdana"/>
                <w:bCs/>
                <w:sz w:val="20"/>
                <w:szCs w:val="20"/>
              </w:rPr>
            </w:pPr>
            <w:r w:rsidRPr="00066E0E">
              <w:rPr>
                <w:rFonts w:ascii="Verdana" w:hAnsi="Verdana"/>
                <w:bCs/>
                <w:sz w:val="20"/>
                <w:szCs w:val="20"/>
              </w:rPr>
              <w:t>71.1% W, 28.9% M</w:t>
            </w:r>
          </w:p>
          <w:p w14:paraId="560A186D" w14:textId="77777777" w:rsidR="00086A0B" w:rsidRPr="00066E0E" w:rsidRDefault="00086A0B" w:rsidP="00067795">
            <w:pPr>
              <w:contextualSpacing/>
              <w:rPr>
                <w:rFonts w:ascii="Verdana" w:hAnsi="Verdana"/>
                <w:b/>
              </w:rPr>
            </w:pPr>
            <w:r w:rsidRPr="00066E0E">
              <w:rPr>
                <w:rFonts w:ascii="Verdana" w:hAnsi="Verdana"/>
                <w:b/>
              </w:rPr>
              <w:t>Carer's leave takers:</w:t>
            </w:r>
          </w:p>
          <w:p w14:paraId="6CFD738F" w14:textId="7C1BEAC2" w:rsidR="00151C88" w:rsidRPr="00066E0E" w:rsidRDefault="00086A0B" w:rsidP="00067795">
            <w:pPr>
              <w:contextualSpacing/>
              <w:rPr>
                <w:rFonts w:ascii="Verdana" w:hAnsi="Verdana"/>
                <w:bCs/>
              </w:rPr>
            </w:pPr>
            <w:r w:rsidRPr="00066E0E">
              <w:rPr>
                <w:rFonts w:ascii="Verdana" w:hAnsi="Verdana"/>
                <w:b/>
              </w:rPr>
              <w:t xml:space="preserve"> </w:t>
            </w:r>
            <w:r w:rsidRPr="00066E0E">
              <w:rPr>
                <w:rFonts w:ascii="Verdana" w:hAnsi="Verdana"/>
                <w:bCs/>
              </w:rPr>
              <w:t>70% W, 30% M</w:t>
            </w:r>
          </w:p>
        </w:tc>
        <w:tc>
          <w:tcPr>
            <w:tcW w:w="1178"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4FFA0BBE" w14:textId="77777777" w:rsidR="00C13417" w:rsidRPr="00066E0E" w:rsidRDefault="00C13417" w:rsidP="00C13417">
            <w:pPr>
              <w:contextualSpacing/>
              <w:rPr>
                <w:rFonts w:ascii="Verdana" w:hAnsi="Verdana"/>
                <w:b/>
                <w:bCs/>
                <w:color w:val="000000"/>
              </w:rPr>
            </w:pPr>
            <w:r w:rsidRPr="00066E0E">
              <w:rPr>
                <w:rFonts w:ascii="Verdana" w:hAnsi="Verdana"/>
                <w:b/>
                <w:bCs/>
                <w:color w:val="000000"/>
              </w:rPr>
              <w:lastRenderedPageBreak/>
              <w:t xml:space="preserve">Parental leave by occupational group: </w:t>
            </w:r>
          </w:p>
          <w:p w14:paraId="5000E48F" w14:textId="6F9BC41B" w:rsidR="00C13417" w:rsidRPr="00066E0E" w:rsidRDefault="00040762" w:rsidP="3ECC7EFB">
            <w:pPr>
              <w:contextualSpacing/>
              <w:rPr>
                <w:rFonts w:ascii="Verdana" w:hAnsi="Verdana"/>
                <w:color w:val="000000"/>
              </w:rPr>
            </w:pPr>
            <w:r>
              <w:rPr>
                <w:rFonts w:ascii="Verdana" w:hAnsi="Verdana"/>
                <w:color w:val="000000" w:themeColor="text1"/>
              </w:rPr>
              <w:t>Allied Health</w:t>
            </w:r>
            <w:r w:rsidR="00C13417" w:rsidRPr="00066E0E">
              <w:rPr>
                <w:rFonts w:ascii="Verdana" w:hAnsi="Verdana"/>
                <w:color w:val="000000" w:themeColor="text1"/>
              </w:rPr>
              <w:t xml:space="preserve">: W avg 26 </w:t>
            </w:r>
            <w:proofErr w:type="spellStart"/>
            <w:r w:rsidR="00C13417" w:rsidRPr="00066E0E">
              <w:rPr>
                <w:rFonts w:ascii="Verdana" w:hAnsi="Verdana"/>
                <w:color w:val="000000" w:themeColor="text1"/>
              </w:rPr>
              <w:t>wks</w:t>
            </w:r>
            <w:proofErr w:type="spellEnd"/>
            <w:r w:rsidR="00C13417" w:rsidRPr="00066E0E">
              <w:rPr>
                <w:rFonts w:ascii="Verdana" w:hAnsi="Verdana"/>
                <w:color w:val="000000" w:themeColor="text1"/>
              </w:rPr>
              <w:t xml:space="preserve">, M avg 10 </w:t>
            </w:r>
            <w:proofErr w:type="spellStart"/>
            <w:r w:rsidR="00C13417" w:rsidRPr="00066E0E">
              <w:rPr>
                <w:rFonts w:ascii="Verdana" w:hAnsi="Verdana"/>
                <w:color w:val="000000" w:themeColor="text1"/>
              </w:rPr>
              <w:t>wks</w:t>
            </w:r>
            <w:proofErr w:type="spellEnd"/>
            <w:r w:rsidR="00C13417" w:rsidRPr="00066E0E">
              <w:rPr>
                <w:rFonts w:ascii="Verdana" w:hAnsi="Verdana"/>
                <w:color w:val="000000" w:themeColor="text1"/>
              </w:rPr>
              <w:t xml:space="preserve"> Nursing: W avg 26 </w:t>
            </w:r>
            <w:proofErr w:type="spellStart"/>
            <w:r w:rsidR="00C13417" w:rsidRPr="00066E0E">
              <w:rPr>
                <w:rFonts w:ascii="Verdana" w:hAnsi="Verdana"/>
                <w:color w:val="000000" w:themeColor="text1"/>
              </w:rPr>
              <w:t>wks</w:t>
            </w:r>
            <w:proofErr w:type="spellEnd"/>
            <w:r w:rsidR="00C13417" w:rsidRPr="00066E0E">
              <w:rPr>
                <w:rFonts w:ascii="Verdana" w:hAnsi="Verdana"/>
                <w:color w:val="000000" w:themeColor="text1"/>
              </w:rPr>
              <w:t xml:space="preserve">, M avg 3 </w:t>
            </w:r>
            <w:proofErr w:type="spellStart"/>
            <w:r w:rsidR="00C13417" w:rsidRPr="00066E0E">
              <w:rPr>
                <w:rFonts w:ascii="Verdana" w:hAnsi="Verdana"/>
                <w:color w:val="000000" w:themeColor="text1"/>
              </w:rPr>
              <w:t>wks</w:t>
            </w:r>
            <w:proofErr w:type="spellEnd"/>
            <w:r w:rsidR="00C13417" w:rsidRPr="00066E0E">
              <w:rPr>
                <w:rFonts w:ascii="Verdana" w:hAnsi="Verdana"/>
                <w:color w:val="000000" w:themeColor="text1"/>
              </w:rPr>
              <w:t xml:space="preserve"> Non-Clinical: W avg 22 </w:t>
            </w:r>
            <w:proofErr w:type="spellStart"/>
            <w:r w:rsidR="00C13417" w:rsidRPr="00066E0E">
              <w:rPr>
                <w:rFonts w:ascii="Verdana" w:hAnsi="Verdana"/>
                <w:color w:val="000000" w:themeColor="text1"/>
              </w:rPr>
              <w:t>wks</w:t>
            </w:r>
            <w:proofErr w:type="spellEnd"/>
            <w:r w:rsidR="00C13417" w:rsidRPr="00066E0E">
              <w:rPr>
                <w:rFonts w:ascii="Verdana" w:hAnsi="Verdana"/>
                <w:color w:val="000000" w:themeColor="text1"/>
              </w:rPr>
              <w:t xml:space="preserve">, M avg 2 </w:t>
            </w:r>
            <w:proofErr w:type="spellStart"/>
            <w:r w:rsidR="00C13417" w:rsidRPr="00066E0E">
              <w:rPr>
                <w:rFonts w:ascii="Verdana" w:hAnsi="Verdana"/>
                <w:color w:val="000000" w:themeColor="text1"/>
              </w:rPr>
              <w:t>wks</w:t>
            </w:r>
            <w:proofErr w:type="spellEnd"/>
            <w:r w:rsidR="00C13417" w:rsidRPr="00066E0E">
              <w:rPr>
                <w:rFonts w:ascii="Verdana" w:hAnsi="Verdana"/>
                <w:color w:val="000000" w:themeColor="text1"/>
              </w:rPr>
              <w:t xml:space="preserve"> Medical: W avg 7 </w:t>
            </w:r>
            <w:proofErr w:type="spellStart"/>
            <w:r w:rsidR="00C13417" w:rsidRPr="00066E0E">
              <w:rPr>
                <w:rFonts w:ascii="Verdana" w:hAnsi="Verdana"/>
                <w:color w:val="000000" w:themeColor="text1"/>
              </w:rPr>
              <w:t>wks</w:t>
            </w:r>
            <w:proofErr w:type="spellEnd"/>
            <w:r w:rsidR="00C13417" w:rsidRPr="00066E0E">
              <w:rPr>
                <w:rFonts w:ascii="Verdana" w:hAnsi="Verdana"/>
                <w:color w:val="000000" w:themeColor="text1"/>
              </w:rPr>
              <w:t xml:space="preserve">, M avg 1 </w:t>
            </w:r>
            <w:proofErr w:type="spellStart"/>
            <w:r w:rsidR="00C13417" w:rsidRPr="00066E0E">
              <w:rPr>
                <w:rFonts w:ascii="Verdana" w:hAnsi="Verdana"/>
                <w:color w:val="000000" w:themeColor="text1"/>
              </w:rPr>
              <w:t>wk</w:t>
            </w:r>
            <w:proofErr w:type="spellEnd"/>
          </w:p>
          <w:p w14:paraId="0871C4D6" w14:textId="77777777" w:rsidR="00C13417" w:rsidRPr="00066E0E" w:rsidRDefault="00C13417" w:rsidP="00C13417">
            <w:pPr>
              <w:contextualSpacing/>
              <w:rPr>
                <w:rFonts w:ascii="Verdana" w:hAnsi="Verdana"/>
                <w:b/>
                <w:bCs/>
                <w:color w:val="000000"/>
              </w:rPr>
            </w:pPr>
          </w:p>
          <w:p w14:paraId="207222FE" w14:textId="77777777" w:rsidR="00BD5503" w:rsidRDefault="00BD5503" w:rsidP="00C13417">
            <w:pPr>
              <w:contextualSpacing/>
              <w:rPr>
                <w:rFonts w:ascii="Verdana" w:hAnsi="Verdana"/>
                <w:b/>
                <w:bCs/>
                <w:color w:val="000000"/>
              </w:rPr>
            </w:pPr>
          </w:p>
          <w:p w14:paraId="04717FAD" w14:textId="5AA253B5" w:rsidR="00C13417" w:rsidRPr="00066E0E" w:rsidRDefault="00C13417" w:rsidP="00C13417">
            <w:pPr>
              <w:contextualSpacing/>
              <w:rPr>
                <w:rFonts w:ascii="Verdana" w:hAnsi="Verdana"/>
                <w:b/>
                <w:bCs/>
                <w:color w:val="000000"/>
              </w:rPr>
            </w:pPr>
            <w:r w:rsidRPr="00066E0E">
              <w:rPr>
                <w:rFonts w:ascii="Verdana" w:hAnsi="Verdana"/>
                <w:b/>
                <w:bCs/>
                <w:color w:val="000000"/>
              </w:rPr>
              <w:lastRenderedPageBreak/>
              <w:t xml:space="preserve">Formal flexibility by occupational group: </w:t>
            </w:r>
          </w:p>
          <w:p w14:paraId="4D4D2095" w14:textId="096D691C" w:rsidR="00C13417" w:rsidRPr="00066E0E" w:rsidRDefault="00040762" w:rsidP="00C13417">
            <w:pPr>
              <w:contextualSpacing/>
              <w:rPr>
                <w:rFonts w:ascii="Verdana" w:hAnsi="Verdana"/>
                <w:color w:val="000000"/>
              </w:rPr>
            </w:pPr>
            <w:r>
              <w:rPr>
                <w:rFonts w:ascii="Verdana" w:hAnsi="Verdana"/>
                <w:color w:val="000000"/>
              </w:rPr>
              <w:t>Allied Health</w:t>
            </w:r>
            <w:r w:rsidR="00C13417" w:rsidRPr="00066E0E">
              <w:rPr>
                <w:rFonts w:ascii="Verdana" w:hAnsi="Verdana"/>
                <w:color w:val="000000"/>
              </w:rPr>
              <w:t>: 9% W, 5% M Nursing: 3% W, 5% M Non-Clinical: 5% W, 0% M Medical: 0% W, 0% M (sessional by design)</w:t>
            </w:r>
          </w:p>
          <w:p w14:paraId="493BD739" w14:textId="77777777" w:rsidR="00C13417" w:rsidRPr="00066E0E" w:rsidRDefault="00C13417" w:rsidP="00C13417">
            <w:pPr>
              <w:contextualSpacing/>
              <w:rPr>
                <w:rFonts w:ascii="Verdana" w:hAnsi="Verdana"/>
                <w:b/>
                <w:bCs/>
                <w:color w:val="000000"/>
              </w:rPr>
            </w:pPr>
          </w:p>
          <w:p w14:paraId="0B31B0E9" w14:textId="77777777" w:rsidR="00C13417" w:rsidRPr="00066E0E" w:rsidRDefault="00C13417" w:rsidP="00C13417">
            <w:pPr>
              <w:contextualSpacing/>
              <w:rPr>
                <w:rFonts w:ascii="Verdana" w:hAnsi="Verdana"/>
                <w:b/>
                <w:bCs/>
                <w:color w:val="000000"/>
              </w:rPr>
            </w:pPr>
            <w:r w:rsidRPr="00066E0E">
              <w:rPr>
                <w:rFonts w:ascii="Verdana" w:hAnsi="Verdana"/>
                <w:b/>
                <w:bCs/>
                <w:color w:val="000000"/>
              </w:rPr>
              <w:t xml:space="preserve">Carer's leave by occupational group: </w:t>
            </w:r>
          </w:p>
          <w:p w14:paraId="22E7DDC8" w14:textId="18EED3EB" w:rsidR="00C13417" w:rsidRPr="00066E0E" w:rsidRDefault="00C13417" w:rsidP="00C13417">
            <w:pPr>
              <w:contextualSpacing/>
              <w:rPr>
                <w:rFonts w:ascii="Verdana" w:hAnsi="Verdana"/>
                <w:color w:val="000000"/>
              </w:rPr>
            </w:pPr>
            <w:r w:rsidRPr="00066E0E">
              <w:rPr>
                <w:rFonts w:ascii="Verdana" w:hAnsi="Verdana"/>
                <w:color w:val="000000"/>
              </w:rPr>
              <w:t xml:space="preserve">Non-Clinical largest gender gap: 19% W vs 12% M Medical: reverse pattern 9% W vs 10% M (sessional schedule control reduces formal leave) </w:t>
            </w:r>
            <w:r w:rsidR="00040762">
              <w:rPr>
                <w:rFonts w:ascii="Verdana" w:hAnsi="Verdana"/>
                <w:color w:val="000000"/>
              </w:rPr>
              <w:t>Allied Health</w:t>
            </w:r>
            <w:r w:rsidRPr="00066E0E">
              <w:rPr>
                <w:rFonts w:ascii="Verdana" w:hAnsi="Verdana"/>
                <w:color w:val="000000"/>
              </w:rPr>
              <w:t>: near parity (17% W, 16% M) Nursing: near parity (16% W, 18% M)</w:t>
            </w:r>
          </w:p>
          <w:p w14:paraId="6CFD73A8" w14:textId="6976A62A" w:rsidR="00151C88" w:rsidRPr="00066E0E" w:rsidRDefault="00151C88" w:rsidP="00067795">
            <w:pPr>
              <w:contextualSpacing/>
              <w:rPr>
                <w:rFonts w:ascii="Verdana" w:hAnsi="Verdana"/>
              </w:rPr>
            </w:pPr>
          </w:p>
        </w:tc>
        <w:tc>
          <w:tcPr>
            <w:tcW w:w="524" w:type="pct"/>
            <w:tcBorders>
              <w:top w:val="single" w:sz="4" w:space="0" w:color="CCCCCC"/>
              <w:left w:val="single" w:sz="4" w:space="0" w:color="CCCCCC"/>
              <w:bottom w:val="single" w:sz="4" w:space="0" w:color="CCCCCC"/>
              <w:right w:val="single" w:sz="4" w:space="0" w:color="CCCCCC"/>
            </w:tcBorders>
            <w:shd w:val="clear" w:color="auto" w:fill="D9F2D0" w:themeFill="accent6" w:themeFillTint="33"/>
            <w:tcMar>
              <w:top w:w="60" w:type="dxa"/>
              <w:left w:w="100" w:type="dxa"/>
              <w:bottom w:w="60" w:type="dxa"/>
              <w:right w:w="100" w:type="dxa"/>
            </w:tcMar>
          </w:tcPr>
          <w:p w14:paraId="6CFD73A9" w14:textId="080792DE" w:rsidR="00151C88" w:rsidRPr="00607914" w:rsidRDefault="000D6812" w:rsidP="00067795">
            <w:pPr>
              <w:contextualSpacing/>
              <w:jc w:val="center"/>
              <w:rPr>
                <w:rFonts w:ascii="Verdana" w:hAnsi="Verdana"/>
              </w:rPr>
            </w:pPr>
            <w:r>
              <w:rPr>
                <w:rFonts w:ascii="Verdana" w:hAnsi="Verdana"/>
                <w:b/>
                <w:bCs/>
                <w:color w:val="000000"/>
              </w:rPr>
              <w:lastRenderedPageBreak/>
              <w:t>Yes</w:t>
            </w:r>
          </w:p>
        </w:tc>
        <w:tc>
          <w:tcPr>
            <w:tcW w:w="1520"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59ECB18E" w14:textId="087D0C72" w:rsidR="00411776" w:rsidRPr="00066E0E" w:rsidRDefault="00411776" w:rsidP="00411776">
            <w:pPr>
              <w:contextualSpacing/>
              <w:rPr>
                <w:rFonts w:ascii="Verdana" w:hAnsi="Verdana"/>
                <w:color w:val="000000"/>
              </w:rPr>
            </w:pPr>
            <w:r w:rsidRPr="00066E0E">
              <w:rPr>
                <w:rFonts w:ascii="Verdana" w:hAnsi="Verdana"/>
                <w:color w:val="000000"/>
              </w:rPr>
              <w:t>Formal flexibility agreements remain low at 3% of workforce (30 people, 87% women), substantially undercounting actual flexible work practice across occupational groups. Part-time rates for both genders</w:t>
            </w:r>
            <w:r w:rsidR="00F02160">
              <w:rPr>
                <w:rFonts w:ascii="Verdana" w:hAnsi="Verdana"/>
                <w:color w:val="000000"/>
              </w:rPr>
              <w:t xml:space="preserve"> have reduced</w:t>
            </w:r>
            <w:r w:rsidRPr="00066E0E">
              <w:rPr>
                <w:rFonts w:ascii="Verdana" w:hAnsi="Verdana"/>
                <w:color w:val="000000"/>
              </w:rPr>
              <w:t xml:space="preserve"> (women 58% to 52%, men 59% to 56%).</w:t>
            </w:r>
          </w:p>
          <w:p w14:paraId="075AD6A5" w14:textId="77777777" w:rsidR="00411776" w:rsidRPr="00066E0E" w:rsidRDefault="00411776" w:rsidP="00411776">
            <w:pPr>
              <w:contextualSpacing/>
              <w:rPr>
                <w:rFonts w:ascii="Verdana" w:hAnsi="Verdana"/>
                <w:color w:val="000000"/>
              </w:rPr>
            </w:pPr>
          </w:p>
          <w:p w14:paraId="7D1F7255" w14:textId="64256AE6" w:rsidR="009E07F9" w:rsidRDefault="004160B6" w:rsidP="3ECC7EFB">
            <w:pPr>
              <w:contextualSpacing/>
              <w:rPr>
                <w:rFonts w:ascii="Verdana" w:hAnsi="Verdana"/>
              </w:rPr>
            </w:pPr>
            <w:r>
              <w:rPr>
                <w:rFonts w:ascii="Verdana" w:hAnsi="Verdana"/>
                <w:color w:val="000000" w:themeColor="text1"/>
              </w:rPr>
              <w:t>C</w:t>
            </w:r>
            <w:r w:rsidR="00411776" w:rsidRPr="00066E0E">
              <w:rPr>
                <w:rFonts w:ascii="Verdana" w:hAnsi="Verdana"/>
                <w:color w:val="000000" w:themeColor="text1"/>
              </w:rPr>
              <w:t xml:space="preserve">onfidence that flexible work requests would receive due consideration </w:t>
            </w:r>
            <w:r>
              <w:rPr>
                <w:rFonts w:ascii="Verdana" w:hAnsi="Verdana"/>
                <w:color w:val="000000" w:themeColor="text1"/>
              </w:rPr>
              <w:t xml:space="preserve">has </w:t>
            </w:r>
            <w:r w:rsidR="000250FC">
              <w:rPr>
                <w:rFonts w:ascii="Verdana" w:hAnsi="Verdana"/>
                <w:color w:val="000000" w:themeColor="text1"/>
              </w:rPr>
              <w:t xml:space="preserve">remained </w:t>
            </w:r>
            <w:r w:rsidR="00411776" w:rsidRPr="00066E0E">
              <w:rPr>
                <w:rFonts w:ascii="Verdana" w:hAnsi="Verdana"/>
                <w:color w:val="000000" w:themeColor="text1"/>
              </w:rPr>
              <w:t>sta</w:t>
            </w:r>
            <w:r w:rsidR="003005EF">
              <w:rPr>
                <w:rFonts w:ascii="Verdana" w:hAnsi="Verdana"/>
                <w:color w:val="000000" w:themeColor="text1"/>
              </w:rPr>
              <w:t>ble</w:t>
            </w:r>
            <w:r w:rsidR="00411776" w:rsidRPr="00066E0E">
              <w:rPr>
                <w:rFonts w:ascii="Verdana" w:hAnsi="Verdana"/>
                <w:color w:val="000000" w:themeColor="text1"/>
              </w:rPr>
              <w:t xml:space="preserve"> </w:t>
            </w:r>
            <w:r w:rsidR="000250FC">
              <w:rPr>
                <w:rFonts w:ascii="Verdana" w:hAnsi="Verdana"/>
                <w:color w:val="000000" w:themeColor="text1"/>
              </w:rPr>
              <w:t xml:space="preserve">for women </w:t>
            </w:r>
            <w:r w:rsidR="00411776" w:rsidRPr="00066E0E">
              <w:rPr>
                <w:rFonts w:ascii="Verdana" w:hAnsi="Verdana"/>
                <w:color w:val="000000" w:themeColor="text1"/>
              </w:rPr>
              <w:t xml:space="preserve">at 60%, </w:t>
            </w:r>
            <w:r w:rsidR="0070512D">
              <w:rPr>
                <w:rFonts w:ascii="Verdana" w:hAnsi="Verdana"/>
                <w:color w:val="000000" w:themeColor="text1"/>
              </w:rPr>
              <w:t xml:space="preserve">with </w:t>
            </w:r>
            <w:r w:rsidR="00411776" w:rsidRPr="00066E0E">
              <w:rPr>
                <w:rFonts w:ascii="Verdana" w:hAnsi="Verdana"/>
                <w:color w:val="000000" w:themeColor="text1"/>
              </w:rPr>
              <w:lastRenderedPageBreak/>
              <w:t>men</w:t>
            </w:r>
            <w:r w:rsidR="00FB10BA">
              <w:rPr>
                <w:rFonts w:ascii="Verdana" w:hAnsi="Verdana"/>
                <w:color w:val="000000" w:themeColor="text1"/>
              </w:rPr>
              <w:t xml:space="preserve">’s confidence </w:t>
            </w:r>
            <w:r w:rsidR="005824E0">
              <w:rPr>
                <w:rFonts w:ascii="Verdana" w:hAnsi="Verdana"/>
                <w:color w:val="000000" w:themeColor="text1"/>
              </w:rPr>
              <w:t>improving</w:t>
            </w:r>
            <w:r w:rsidR="00411776" w:rsidRPr="00066E0E">
              <w:rPr>
                <w:rFonts w:ascii="Verdana" w:hAnsi="Verdana"/>
                <w:color w:val="000000" w:themeColor="text1"/>
              </w:rPr>
              <w:t xml:space="preserve"> from 71</w:t>
            </w:r>
            <w:r w:rsidR="00EB05B6" w:rsidRPr="00066E0E">
              <w:rPr>
                <w:rFonts w:ascii="Verdana" w:hAnsi="Verdana"/>
                <w:color w:val="000000" w:themeColor="text1"/>
              </w:rPr>
              <w:t>.4</w:t>
            </w:r>
            <w:r w:rsidR="00411776" w:rsidRPr="00066E0E">
              <w:rPr>
                <w:rFonts w:ascii="Verdana" w:hAnsi="Verdana"/>
                <w:color w:val="000000" w:themeColor="text1"/>
              </w:rPr>
              <w:t>% to 8</w:t>
            </w:r>
            <w:r w:rsidR="00EB05B6" w:rsidRPr="00066E0E">
              <w:rPr>
                <w:rFonts w:ascii="Verdana" w:hAnsi="Verdana"/>
                <w:color w:val="000000" w:themeColor="text1"/>
              </w:rPr>
              <w:t>1.6</w:t>
            </w:r>
            <w:r w:rsidR="00411776" w:rsidRPr="00066E0E">
              <w:rPr>
                <w:rFonts w:ascii="Verdana" w:hAnsi="Verdana"/>
                <w:color w:val="000000" w:themeColor="text1"/>
              </w:rPr>
              <w:t>%.</w:t>
            </w:r>
            <w:r w:rsidR="0996656F" w:rsidRPr="00066E0E">
              <w:rPr>
                <w:rFonts w:ascii="Verdana" w:hAnsi="Verdana"/>
              </w:rPr>
              <w:t xml:space="preserve"> </w:t>
            </w:r>
          </w:p>
          <w:p w14:paraId="47B5E78E" w14:textId="77777777" w:rsidR="005824E0" w:rsidRDefault="005824E0" w:rsidP="3ECC7EFB">
            <w:pPr>
              <w:contextualSpacing/>
              <w:rPr>
                <w:rFonts w:ascii="Verdana" w:hAnsi="Verdana"/>
              </w:rPr>
            </w:pPr>
          </w:p>
          <w:p w14:paraId="68648A25" w14:textId="4994B692" w:rsidR="00411776" w:rsidRPr="00066E0E" w:rsidRDefault="0996656F" w:rsidP="3ECC7EFB">
            <w:pPr>
              <w:contextualSpacing/>
              <w:rPr>
                <w:rFonts w:ascii="Verdana" w:hAnsi="Verdana"/>
              </w:rPr>
            </w:pPr>
            <w:r w:rsidRPr="00066E0E">
              <w:rPr>
                <w:rFonts w:ascii="Verdana" w:hAnsi="Verdana"/>
              </w:rPr>
              <w:t>None of the four original GEAP actions under this indicator were completed during the reporting period. Three were carried forward to the 2026-2030 GEAP and one (gender equality data in performance reports) was discontinued</w:t>
            </w:r>
            <w:r w:rsidR="00B75124">
              <w:rPr>
                <w:rFonts w:ascii="Verdana" w:hAnsi="Verdana"/>
              </w:rPr>
              <w:t xml:space="preserve"> due to imp</w:t>
            </w:r>
            <w:r w:rsidR="00220E2C">
              <w:rPr>
                <w:rFonts w:ascii="Verdana" w:hAnsi="Verdana"/>
              </w:rPr>
              <w:t>racticality</w:t>
            </w:r>
            <w:r w:rsidRPr="00066E0E">
              <w:rPr>
                <w:rFonts w:ascii="Verdana" w:hAnsi="Verdana"/>
              </w:rPr>
              <w:t xml:space="preserve">. A </w:t>
            </w:r>
            <w:r w:rsidR="00220E2C">
              <w:rPr>
                <w:rFonts w:ascii="Verdana" w:hAnsi="Verdana"/>
              </w:rPr>
              <w:t>F</w:t>
            </w:r>
            <w:r w:rsidRPr="00066E0E">
              <w:rPr>
                <w:rFonts w:ascii="Verdana" w:hAnsi="Verdana"/>
              </w:rPr>
              <w:t xml:space="preserve">lexible </w:t>
            </w:r>
            <w:r w:rsidR="00220E2C">
              <w:rPr>
                <w:rFonts w:ascii="Verdana" w:hAnsi="Verdana"/>
              </w:rPr>
              <w:t>W</w:t>
            </w:r>
            <w:r w:rsidRPr="00066E0E">
              <w:rPr>
                <w:rFonts w:ascii="Verdana" w:hAnsi="Verdana"/>
              </w:rPr>
              <w:t>ork</w:t>
            </w:r>
            <w:r w:rsidR="000A404C">
              <w:rPr>
                <w:rFonts w:ascii="Verdana" w:hAnsi="Verdana"/>
              </w:rPr>
              <w:t xml:space="preserve"> </w:t>
            </w:r>
            <w:r w:rsidR="00220E2C">
              <w:rPr>
                <w:rFonts w:ascii="Verdana" w:hAnsi="Verdana"/>
              </w:rPr>
              <w:t>A</w:t>
            </w:r>
            <w:r w:rsidR="00E90964">
              <w:rPr>
                <w:rFonts w:ascii="Verdana" w:hAnsi="Verdana"/>
              </w:rPr>
              <w:t>rrangements</w:t>
            </w:r>
            <w:r w:rsidRPr="00066E0E">
              <w:rPr>
                <w:rFonts w:ascii="Verdana" w:hAnsi="Verdana"/>
              </w:rPr>
              <w:t xml:space="preserve"> p</w:t>
            </w:r>
            <w:r w:rsidR="00E90964">
              <w:rPr>
                <w:rFonts w:ascii="Verdana" w:hAnsi="Verdana"/>
              </w:rPr>
              <w:t>rocedure</w:t>
            </w:r>
            <w:r w:rsidRPr="00066E0E">
              <w:rPr>
                <w:rFonts w:ascii="Verdana" w:hAnsi="Verdana"/>
              </w:rPr>
              <w:t xml:space="preserve"> was developed separately during the reporting period.</w:t>
            </w:r>
          </w:p>
          <w:p w14:paraId="39867E84" w14:textId="77777777" w:rsidR="00411776" w:rsidRPr="00066E0E" w:rsidRDefault="00411776" w:rsidP="00411776">
            <w:pPr>
              <w:contextualSpacing/>
              <w:rPr>
                <w:rFonts w:ascii="Verdana" w:hAnsi="Verdana"/>
                <w:color w:val="000000"/>
              </w:rPr>
            </w:pPr>
          </w:p>
          <w:p w14:paraId="7414AD6B" w14:textId="5CE4F272" w:rsidR="00411776" w:rsidRPr="00066E0E" w:rsidRDefault="00411776" w:rsidP="00411776">
            <w:pPr>
              <w:contextualSpacing/>
              <w:rPr>
                <w:rFonts w:ascii="Verdana" w:hAnsi="Verdana"/>
                <w:color w:val="000000"/>
              </w:rPr>
            </w:pPr>
            <w:r w:rsidRPr="00066E0E">
              <w:rPr>
                <w:rFonts w:ascii="Verdana" w:hAnsi="Verdana"/>
                <w:color w:val="000000"/>
              </w:rPr>
              <w:t>Carers leave is used by 14% of the workforce, with women taking leave at higher rates (15% compared with 12% of men). Parental leave shows significant gendered patterns: women average 20</w:t>
            </w:r>
            <w:r w:rsidR="006D315C" w:rsidRPr="00066E0E">
              <w:rPr>
                <w:rFonts w:ascii="Verdana" w:hAnsi="Verdana"/>
                <w:color w:val="000000"/>
              </w:rPr>
              <w:t>.8</w:t>
            </w:r>
            <w:r w:rsidRPr="00066E0E">
              <w:rPr>
                <w:rFonts w:ascii="Verdana" w:hAnsi="Verdana"/>
                <w:color w:val="000000"/>
              </w:rPr>
              <w:t xml:space="preserve"> weeks (70% unpaid) compared with men's 2</w:t>
            </w:r>
            <w:r w:rsidR="006D315C" w:rsidRPr="00066E0E">
              <w:rPr>
                <w:rFonts w:ascii="Verdana" w:hAnsi="Verdana"/>
                <w:color w:val="000000"/>
              </w:rPr>
              <w:t>.3</w:t>
            </w:r>
            <w:r w:rsidRPr="00066E0E">
              <w:rPr>
                <w:rFonts w:ascii="Verdana" w:hAnsi="Verdana"/>
                <w:color w:val="000000"/>
              </w:rPr>
              <w:t xml:space="preserve"> weeks (13% unpaid), with </w:t>
            </w:r>
            <w:r w:rsidR="00040762">
              <w:rPr>
                <w:rFonts w:ascii="Verdana" w:hAnsi="Verdana"/>
                <w:color w:val="000000"/>
              </w:rPr>
              <w:t>Allied Health</w:t>
            </w:r>
            <w:r w:rsidRPr="00066E0E">
              <w:rPr>
                <w:rFonts w:ascii="Verdana" w:hAnsi="Verdana"/>
                <w:color w:val="000000"/>
              </w:rPr>
              <w:t xml:space="preserve"> and Nursing women most reliant on unpaid leave.</w:t>
            </w:r>
          </w:p>
          <w:p w14:paraId="446E1539" w14:textId="77777777" w:rsidR="00411776" w:rsidRPr="00066E0E" w:rsidRDefault="00411776" w:rsidP="00411776">
            <w:pPr>
              <w:contextualSpacing/>
              <w:rPr>
                <w:rFonts w:ascii="Verdana" w:hAnsi="Verdana"/>
                <w:color w:val="000000"/>
              </w:rPr>
            </w:pPr>
          </w:p>
          <w:p w14:paraId="6CFD73AA" w14:textId="1D60BBF8" w:rsidR="00151C88" w:rsidRPr="00066E0E" w:rsidRDefault="00E74FE7" w:rsidP="00067795">
            <w:pPr>
              <w:contextualSpacing/>
              <w:rPr>
                <w:rFonts w:ascii="Verdana" w:hAnsi="Verdana"/>
                <w:color w:val="000000"/>
              </w:rPr>
            </w:pPr>
            <w:r>
              <w:rPr>
                <w:rFonts w:ascii="Verdana" w:hAnsi="Verdana"/>
                <w:color w:val="000000"/>
              </w:rPr>
              <w:t xml:space="preserve">The </w:t>
            </w:r>
            <w:r w:rsidR="00534296" w:rsidRPr="00066E0E">
              <w:rPr>
                <w:rFonts w:ascii="Verdana" w:hAnsi="Verdana"/>
                <w:color w:val="000000"/>
              </w:rPr>
              <w:t>Eye and Ear</w:t>
            </w:r>
            <w:r w:rsidR="00B925F4" w:rsidRPr="00066E0E">
              <w:rPr>
                <w:rFonts w:ascii="Verdana" w:hAnsi="Verdana"/>
                <w:color w:val="000000"/>
              </w:rPr>
              <w:t>'s most significant progress is analytical. The organisation has identified that flexibility operates through fundamentally different models across occupational groups. The next GEAP shifts from promoting existing entitlements to addressing how flexibility operates differently across occupational groups</w:t>
            </w:r>
            <w:r w:rsidR="00724E8C">
              <w:rPr>
                <w:rFonts w:ascii="Verdana" w:hAnsi="Verdana"/>
                <w:color w:val="000000"/>
              </w:rPr>
              <w:t>.</w:t>
            </w:r>
          </w:p>
        </w:tc>
      </w:tr>
      <w:tr w:rsidR="00151C88" w:rsidRPr="002112CD" w14:paraId="6CFD73CD" w14:textId="77777777" w:rsidTr="3ECC7EFB">
        <w:tc>
          <w:tcPr>
            <w:tcW w:w="513" w:type="pct"/>
            <w:tcBorders>
              <w:top w:val="single" w:sz="4" w:space="0" w:color="CCCCCC"/>
              <w:left w:val="single" w:sz="4" w:space="0" w:color="CCCCCC"/>
              <w:bottom w:val="single" w:sz="4" w:space="0" w:color="CCCCCC"/>
              <w:right w:val="single" w:sz="4" w:space="0" w:color="CCCCCC"/>
            </w:tcBorders>
            <w:shd w:val="clear" w:color="auto" w:fill="D6E4F0"/>
            <w:tcMar>
              <w:top w:w="60" w:type="dxa"/>
              <w:left w:w="100" w:type="dxa"/>
              <w:bottom w:w="60" w:type="dxa"/>
              <w:right w:w="100" w:type="dxa"/>
            </w:tcMar>
          </w:tcPr>
          <w:p w14:paraId="6CFD73AC" w14:textId="77777777" w:rsidR="00151C88" w:rsidRPr="00607914" w:rsidRDefault="000C39A1" w:rsidP="00067795">
            <w:pPr>
              <w:contextualSpacing/>
              <w:rPr>
                <w:rFonts w:ascii="Verdana" w:hAnsi="Verdana"/>
              </w:rPr>
            </w:pPr>
            <w:r w:rsidRPr="00607914">
              <w:rPr>
                <w:rFonts w:ascii="Verdana" w:hAnsi="Verdana"/>
                <w:b/>
                <w:bCs/>
                <w:color w:val="000000"/>
              </w:rPr>
              <w:lastRenderedPageBreak/>
              <w:t>7</w:t>
            </w:r>
          </w:p>
        </w:tc>
        <w:tc>
          <w:tcPr>
            <w:tcW w:w="1264"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62E23B39" w14:textId="4DDD08CC" w:rsidR="005A67A9" w:rsidRPr="00607914" w:rsidRDefault="005A67A9" w:rsidP="00067795">
            <w:pPr>
              <w:pStyle w:val="Body"/>
              <w:spacing w:after="0" w:line="240" w:lineRule="auto"/>
              <w:contextualSpacing/>
              <w:rPr>
                <w:rFonts w:ascii="Verdana" w:hAnsi="Verdana"/>
                <w:bCs/>
                <w:sz w:val="20"/>
                <w:szCs w:val="20"/>
                <w:lang w:eastAsia="en-AU"/>
              </w:rPr>
            </w:pPr>
            <w:r w:rsidRPr="00607914">
              <w:rPr>
                <w:rFonts w:ascii="Verdana" w:hAnsi="Verdana"/>
                <w:b/>
                <w:sz w:val="20"/>
                <w:szCs w:val="20"/>
              </w:rPr>
              <w:t>Critical</w:t>
            </w:r>
            <w:r w:rsidRPr="00607914">
              <w:rPr>
                <w:rStyle w:val="Strong"/>
                <w:rFonts w:ascii="Verdana" w:eastAsiaTheme="minorHAnsi" w:hAnsi="Verdana"/>
                <w:b w:val="0"/>
              </w:rPr>
              <w:t xml:space="preserve"> </w:t>
            </w:r>
            <w:r w:rsidRPr="00607914">
              <w:rPr>
                <w:rStyle w:val="Strong"/>
                <w:rFonts w:ascii="Verdana" w:eastAsiaTheme="minorHAnsi" w:hAnsi="Verdana"/>
                <w:bCs w:val="0"/>
              </w:rPr>
              <w:t>performance</w:t>
            </w:r>
            <w:r w:rsidRPr="00607914">
              <w:rPr>
                <w:rStyle w:val="Strong"/>
                <w:rFonts w:ascii="Verdana" w:eastAsiaTheme="minorHAnsi" w:hAnsi="Verdana"/>
                <w:b w:val="0"/>
              </w:rPr>
              <w:t xml:space="preserve"> </w:t>
            </w:r>
            <w:r w:rsidRPr="00607914">
              <w:rPr>
                <w:rStyle w:val="Strong"/>
                <w:rFonts w:ascii="Verdana" w:eastAsiaTheme="minorHAnsi" w:hAnsi="Verdana"/>
              </w:rPr>
              <w:t>measures</w:t>
            </w:r>
          </w:p>
          <w:p w14:paraId="2052D07C" w14:textId="64AE215E" w:rsidR="007815FA" w:rsidRPr="00607914" w:rsidRDefault="00D36A9B" w:rsidP="007815FA">
            <w:pPr>
              <w:contextualSpacing/>
              <w:rPr>
                <w:rFonts w:ascii="Verdana" w:hAnsi="Verdana"/>
                <w:color w:val="000000"/>
              </w:rPr>
            </w:pPr>
            <w:r w:rsidRPr="00D36A9B">
              <w:rPr>
                <w:rFonts w:ascii="Verdana" w:hAnsi="Verdana"/>
                <w:color w:val="000000"/>
              </w:rPr>
              <w:t xml:space="preserve">Occupational gender segregation (ANZSCO): Managers: 2023: Women 65.9%, 2025: Women 60.9% (-5pp) Professionals: 2023: Women 63.1%, 2025: Women </w:t>
            </w:r>
            <w:r w:rsidRPr="00D36A9B">
              <w:rPr>
                <w:rFonts w:ascii="Verdana" w:hAnsi="Verdana"/>
                <w:color w:val="000000"/>
              </w:rPr>
              <w:lastRenderedPageBreak/>
              <w:t>63.3% (stable) Technicians and Trades: 2023: Women 46.7%, 2025: Women 33.3% (-13pp) Community and Personal Service: 2023: Women 44.8%, 2025: Women 64.3% (+19pp) Clerical and Administrative: 2023: Women 77.8%, 2025: Women 70.1% (-8pp) All occupations: 2023: Women 63.9%, 2025: Women 63.2% (-1pp)</w:t>
            </w:r>
          </w:p>
          <w:p w14:paraId="6CFD73B4" w14:textId="2113D025" w:rsidR="00151C88" w:rsidRPr="00607914" w:rsidRDefault="00151C88" w:rsidP="00067795">
            <w:pPr>
              <w:contextualSpacing/>
              <w:rPr>
                <w:rFonts w:ascii="Verdana" w:hAnsi="Verdana"/>
              </w:rPr>
            </w:pPr>
          </w:p>
        </w:tc>
        <w:tc>
          <w:tcPr>
            <w:tcW w:w="1178"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6CFD73B5" w14:textId="77777777" w:rsidR="00151C88" w:rsidRPr="00607914" w:rsidRDefault="000C39A1" w:rsidP="00067795">
            <w:pPr>
              <w:contextualSpacing/>
              <w:rPr>
                <w:rFonts w:ascii="Verdana" w:hAnsi="Verdana"/>
                <w:b/>
                <w:bCs/>
              </w:rPr>
            </w:pPr>
            <w:r w:rsidRPr="00607914">
              <w:rPr>
                <w:rFonts w:ascii="Verdana" w:hAnsi="Verdana"/>
                <w:b/>
                <w:bCs/>
                <w:color w:val="000000"/>
              </w:rPr>
              <w:lastRenderedPageBreak/>
              <w:t>Internal occupational group composition (2025):</w:t>
            </w:r>
          </w:p>
          <w:p w14:paraId="0F8393FA" w14:textId="6962F292" w:rsidR="00434BEA" w:rsidRPr="00434BEA" w:rsidRDefault="00434BEA" w:rsidP="00434BEA">
            <w:pPr>
              <w:contextualSpacing/>
              <w:rPr>
                <w:rFonts w:ascii="Verdana" w:hAnsi="Verdana"/>
                <w:color w:val="000000"/>
              </w:rPr>
            </w:pPr>
            <w:r w:rsidRPr="00434BEA">
              <w:rPr>
                <w:rFonts w:ascii="Verdana" w:hAnsi="Verdana"/>
                <w:color w:val="000000"/>
              </w:rPr>
              <w:t xml:space="preserve">Nursing: 88% W / 12% M </w:t>
            </w:r>
            <w:r w:rsidR="00040762">
              <w:rPr>
                <w:rFonts w:ascii="Verdana" w:hAnsi="Verdana"/>
                <w:color w:val="000000"/>
              </w:rPr>
              <w:t>Allied Health</w:t>
            </w:r>
            <w:r w:rsidRPr="00434BEA">
              <w:rPr>
                <w:rFonts w:ascii="Verdana" w:hAnsi="Verdana"/>
                <w:color w:val="000000"/>
              </w:rPr>
              <w:t>: 77% W / 23% M Non-Clinical: 67% W / 33% M Medical: 39% W / 61% M</w:t>
            </w:r>
          </w:p>
          <w:p w14:paraId="45D09AE3" w14:textId="0D9FD3A9" w:rsidR="00434BEA" w:rsidRPr="00434BEA" w:rsidRDefault="00434BEA" w:rsidP="00434BEA">
            <w:pPr>
              <w:contextualSpacing/>
              <w:rPr>
                <w:rFonts w:ascii="Verdana" w:hAnsi="Verdana"/>
                <w:color w:val="000000"/>
              </w:rPr>
            </w:pPr>
            <w:r w:rsidRPr="00434BEA">
              <w:rPr>
                <w:rFonts w:ascii="Verdana" w:hAnsi="Verdana"/>
                <w:color w:val="000000"/>
              </w:rPr>
              <w:lastRenderedPageBreak/>
              <w:t xml:space="preserve">Pay consequence of segregation: Medical mean base: $328,796 Nursing mean base: $116,069 Gap: $212,727 (reflects </w:t>
            </w:r>
            <w:r w:rsidR="005F3E36">
              <w:rPr>
                <w:rFonts w:ascii="Verdana" w:hAnsi="Verdana"/>
                <w:color w:val="000000"/>
              </w:rPr>
              <w:t>job valuation between enterprise agreements</w:t>
            </w:r>
            <w:r w:rsidRPr="00434BEA">
              <w:rPr>
                <w:rFonts w:ascii="Verdana" w:hAnsi="Verdana"/>
                <w:color w:val="000000"/>
              </w:rPr>
              <w:t>, not pay inequity)</w:t>
            </w:r>
            <w:r w:rsidR="007B6ECF">
              <w:rPr>
                <w:rFonts w:ascii="Verdana" w:hAnsi="Verdana"/>
                <w:color w:val="000000"/>
              </w:rPr>
              <w:t>.</w:t>
            </w:r>
          </w:p>
          <w:p w14:paraId="21710F64" w14:textId="77777777" w:rsidR="007B6ECF" w:rsidRDefault="00434BEA" w:rsidP="00434BEA">
            <w:pPr>
              <w:contextualSpacing/>
              <w:rPr>
                <w:rFonts w:ascii="Verdana" w:hAnsi="Verdana"/>
                <w:color w:val="000000"/>
              </w:rPr>
            </w:pPr>
            <w:r w:rsidRPr="00434BEA">
              <w:rPr>
                <w:rFonts w:ascii="Verdana" w:hAnsi="Verdana"/>
                <w:color w:val="000000"/>
              </w:rPr>
              <w:t>ANZSCO changes of note: Community &amp; Personal Service +19pp (W 44.8%</w:t>
            </w:r>
            <w:r w:rsidRPr="00434BEA">
              <w:rPr>
                <w:color w:val="000000"/>
              </w:rPr>
              <w:t>→</w:t>
            </w:r>
            <w:r w:rsidRPr="00434BEA">
              <w:rPr>
                <w:rFonts w:ascii="Verdana" w:hAnsi="Verdana"/>
                <w:color w:val="000000"/>
              </w:rPr>
              <w:t>64.3%): reflects reclassification, not workforce change</w:t>
            </w:r>
            <w:r w:rsidR="007B6ECF">
              <w:rPr>
                <w:rFonts w:ascii="Verdana" w:hAnsi="Verdana"/>
                <w:color w:val="000000"/>
              </w:rPr>
              <w:t>.</w:t>
            </w:r>
          </w:p>
          <w:p w14:paraId="6ED2D1BA" w14:textId="6F525635" w:rsidR="00434BEA" w:rsidRPr="00434BEA" w:rsidRDefault="00434BEA" w:rsidP="00434BEA">
            <w:pPr>
              <w:contextualSpacing/>
              <w:rPr>
                <w:rFonts w:ascii="Verdana" w:hAnsi="Verdana"/>
                <w:color w:val="000000"/>
              </w:rPr>
            </w:pPr>
            <w:r w:rsidRPr="00434BEA">
              <w:rPr>
                <w:rFonts w:ascii="Verdana" w:hAnsi="Verdana"/>
                <w:color w:val="000000"/>
              </w:rPr>
              <w:t>Tech &amp; Trades -13pp: small cohort (n&lt;15)</w:t>
            </w:r>
          </w:p>
          <w:p w14:paraId="6CFD73CA" w14:textId="210E27BC" w:rsidR="00151C88" w:rsidRPr="00607914" w:rsidRDefault="00151C88" w:rsidP="00067795">
            <w:pPr>
              <w:contextualSpacing/>
              <w:rPr>
                <w:rFonts w:ascii="Verdana" w:hAnsi="Verdana"/>
              </w:rPr>
            </w:pPr>
          </w:p>
        </w:tc>
        <w:tc>
          <w:tcPr>
            <w:tcW w:w="524" w:type="pct"/>
            <w:tcBorders>
              <w:top w:val="single" w:sz="4" w:space="0" w:color="CCCCCC"/>
              <w:left w:val="single" w:sz="4" w:space="0" w:color="CCCCCC"/>
              <w:bottom w:val="single" w:sz="4" w:space="0" w:color="CCCCCC"/>
              <w:right w:val="single" w:sz="4" w:space="0" w:color="CCCCCC"/>
            </w:tcBorders>
            <w:shd w:val="clear" w:color="auto" w:fill="D9F2D0" w:themeFill="accent6" w:themeFillTint="33"/>
            <w:tcMar>
              <w:top w:w="60" w:type="dxa"/>
              <w:left w:w="100" w:type="dxa"/>
              <w:bottom w:w="60" w:type="dxa"/>
              <w:right w:w="100" w:type="dxa"/>
            </w:tcMar>
          </w:tcPr>
          <w:p w14:paraId="6CFD73CB" w14:textId="41A03F9A" w:rsidR="00151C88" w:rsidRPr="00607914" w:rsidRDefault="00747605" w:rsidP="00DA64F2">
            <w:pPr>
              <w:contextualSpacing/>
              <w:rPr>
                <w:rFonts w:ascii="Verdana" w:hAnsi="Verdana"/>
              </w:rPr>
            </w:pPr>
            <w:r>
              <w:rPr>
                <w:rFonts w:ascii="Verdana" w:hAnsi="Verdana"/>
                <w:b/>
                <w:bCs/>
                <w:color w:val="000000"/>
              </w:rPr>
              <w:lastRenderedPageBreak/>
              <w:t>Yes</w:t>
            </w:r>
          </w:p>
        </w:tc>
        <w:tc>
          <w:tcPr>
            <w:tcW w:w="1520" w:type="pct"/>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14:paraId="6CFD73CC" w14:textId="59BD8744" w:rsidR="00151C88" w:rsidRPr="00607914" w:rsidRDefault="00434BEA" w:rsidP="00067795">
            <w:pPr>
              <w:contextualSpacing/>
              <w:rPr>
                <w:rFonts w:ascii="Verdana" w:hAnsi="Verdana"/>
              </w:rPr>
            </w:pPr>
            <w:r w:rsidRPr="00434BEA">
              <w:rPr>
                <w:rFonts w:ascii="Verdana" w:hAnsi="Verdana"/>
                <w:color w:val="000000"/>
              </w:rPr>
              <w:t xml:space="preserve">Occupational segregation is unchanged in substantive terms. Nursing remains 88% women, </w:t>
            </w:r>
            <w:r w:rsidR="00040762">
              <w:rPr>
                <w:rFonts w:ascii="Verdana" w:hAnsi="Verdana"/>
                <w:color w:val="000000"/>
              </w:rPr>
              <w:t>Allied Health</w:t>
            </w:r>
            <w:r w:rsidRPr="00434BEA">
              <w:rPr>
                <w:rFonts w:ascii="Verdana" w:hAnsi="Verdana"/>
                <w:color w:val="000000"/>
              </w:rPr>
              <w:t xml:space="preserve"> 77% women, Medical 39% women. These patterns reflect national education pipelines and century-old professional qualification structures beyond </w:t>
            </w:r>
            <w:r w:rsidR="00E82DA9">
              <w:rPr>
                <w:rFonts w:ascii="Verdana" w:hAnsi="Verdana"/>
                <w:color w:val="000000"/>
              </w:rPr>
              <w:lastRenderedPageBreak/>
              <w:t xml:space="preserve">The </w:t>
            </w:r>
            <w:r w:rsidRPr="00434BEA">
              <w:rPr>
                <w:rFonts w:ascii="Verdana" w:hAnsi="Verdana"/>
                <w:color w:val="000000"/>
              </w:rPr>
              <w:t xml:space="preserve">Eye and Ear's direct control. Pursuing numerical gender balance is neither achievable nor appropriate when </w:t>
            </w:r>
            <w:r w:rsidR="008F59D4">
              <w:rPr>
                <w:rFonts w:ascii="Verdana" w:hAnsi="Verdana"/>
                <w:color w:val="000000"/>
              </w:rPr>
              <w:t xml:space="preserve">limited </w:t>
            </w:r>
            <w:r w:rsidR="008F59D4" w:rsidRPr="00434BEA">
              <w:rPr>
                <w:rFonts w:ascii="Verdana" w:hAnsi="Verdana"/>
                <w:color w:val="000000"/>
              </w:rPr>
              <w:t>male</w:t>
            </w:r>
            <w:r w:rsidRPr="00434BEA">
              <w:rPr>
                <w:rFonts w:ascii="Verdana" w:hAnsi="Verdana"/>
                <w:color w:val="000000"/>
              </w:rPr>
              <w:t xml:space="preserve"> candidate pipeline</w:t>
            </w:r>
            <w:r w:rsidR="008733BE">
              <w:rPr>
                <w:rFonts w:ascii="Verdana" w:hAnsi="Verdana"/>
                <w:color w:val="000000"/>
              </w:rPr>
              <w:t>s</w:t>
            </w:r>
            <w:r w:rsidRPr="00434BEA">
              <w:rPr>
                <w:rFonts w:ascii="Verdana" w:hAnsi="Verdana"/>
                <w:color w:val="000000"/>
              </w:rPr>
              <w:t xml:space="preserve"> exist in nursing education nationally, and medical specialist training requires 10-15 years from medical school entry to specialist appointment. The genuine equity challenge is the </w:t>
            </w:r>
            <w:r w:rsidR="002E730A">
              <w:rPr>
                <w:rFonts w:ascii="Verdana" w:hAnsi="Verdana"/>
                <w:color w:val="000000"/>
              </w:rPr>
              <w:t xml:space="preserve">job valuation </w:t>
            </w:r>
            <w:r w:rsidR="005B304D">
              <w:rPr>
                <w:rFonts w:ascii="Verdana" w:hAnsi="Verdana"/>
                <w:color w:val="000000"/>
              </w:rPr>
              <w:t xml:space="preserve">applied to different enterprise </w:t>
            </w:r>
            <w:r w:rsidR="00DE0304">
              <w:rPr>
                <w:rFonts w:ascii="Verdana" w:hAnsi="Verdana"/>
                <w:color w:val="000000"/>
              </w:rPr>
              <w:t xml:space="preserve">agreements </w:t>
            </w:r>
            <w:r w:rsidRPr="00434BEA">
              <w:rPr>
                <w:rFonts w:ascii="Verdana" w:hAnsi="Verdana"/>
                <w:color w:val="000000"/>
              </w:rPr>
              <w:t>reflected in the $212,727 gap between Medical and Nursing mean salaries. Traditional desegregation metrics are inadequate for feminised healthcare workforces and fail to capture genuine equity improvements occurring within occupational groups, such as nursing career progression and enterprise bargaining outcomes. ANZSCO classification changes between reporting periods account for some apparent compositional shifts and should be interpreted with caution.</w:t>
            </w:r>
          </w:p>
        </w:tc>
      </w:tr>
    </w:tbl>
    <w:p w14:paraId="6CFD73CE" w14:textId="77777777" w:rsidR="00151C88" w:rsidRPr="002112CD" w:rsidRDefault="00151C88" w:rsidP="00067795">
      <w:pPr>
        <w:contextualSpacing/>
        <w:rPr>
          <w:rFonts w:ascii="Verdana" w:hAnsi="Verdana"/>
        </w:rPr>
      </w:pPr>
    </w:p>
    <w:p w14:paraId="6CFD73CF" w14:textId="39D9D801" w:rsidR="00151C88" w:rsidRPr="002112CD" w:rsidRDefault="00151C88" w:rsidP="00067795">
      <w:pPr>
        <w:contextualSpacing/>
        <w:rPr>
          <w:rFonts w:ascii="Verdana" w:hAnsi="Verdana"/>
        </w:rPr>
      </w:pPr>
    </w:p>
    <w:p w14:paraId="0721E2A0" w14:textId="77777777" w:rsidR="00F60477" w:rsidRDefault="00F60477">
      <w:pPr>
        <w:rPr>
          <w:rFonts w:ascii="Verdana" w:hAnsi="Verdana"/>
          <w:b/>
          <w:bCs/>
          <w:color w:val="2E75B6"/>
        </w:rPr>
      </w:pPr>
      <w:r>
        <w:rPr>
          <w:rFonts w:ascii="Verdana" w:hAnsi="Verdana"/>
        </w:rPr>
        <w:br w:type="page"/>
      </w:r>
    </w:p>
    <w:p w14:paraId="6CFD73D0" w14:textId="14832B54" w:rsidR="00151C88" w:rsidRPr="002112CD" w:rsidRDefault="000C39A1" w:rsidP="00067795">
      <w:pPr>
        <w:pStyle w:val="Heading2"/>
        <w:spacing w:before="0" w:after="0"/>
        <w:contextualSpacing/>
        <w:rPr>
          <w:rFonts w:ascii="Verdana" w:hAnsi="Verdana"/>
          <w:sz w:val="20"/>
          <w:szCs w:val="20"/>
        </w:rPr>
      </w:pPr>
      <w:r w:rsidRPr="002112CD">
        <w:rPr>
          <w:rFonts w:ascii="Verdana" w:hAnsi="Verdana"/>
          <w:sz w:val="20"/>
          <w:szCs w:val="20"/>
        </w:rPr>
        <w:lastRenderedPageBreak/>
        <w:t>Section 2.2: Factors limiting and contributing to progress</w:t>
      </w:r>
    </w:p>
    <w:p w14:paraId="6CFD73D1" w14:textId="77777777" w:rsidR="00151C88" w:rsidRPr="002112CD" w:rsidRDefault="000C39A1" w:rsidP="00067795">
      <w:pPr>
        <w:contextualSpacing/>
        <w:rPr>
          <w:rFonts w:ascii="Verdana" w:hAnsi="Verdana"/>
          <w:color w:val="000000"/>
        </w:rPr>
      </w:pPr>
      <w:r w:rsidRPr="002112CD">
        <w:rPr>
          <w:rFonts w:ascii="Verdana" w:hAnsi="Verdana"/>
          <w:color w:val="000000"/>
        </w:rPr>
        <w:t xml:space="preserve">Factors referenced below correspond to s16(2) of the </w:t>
      </w:r>
      <w:r w:rsidRPr="002112CD">
        <w:rPr>
          <w:rFonts w:ascii="Verdana" w:hAnsi="Verdana"/>
          <w:i/>
          <w:iCs/>
          <w:color w:val="000000"/>
        </w:rPr>
        <w:t>Gender Equality Act 2020</w:t>
      </w:r>
      <w:r w:rsidRPr="002112CD">
        <w:rPr>
          <w:rFonts w:ascii="Verdana" w:hAnsi="Verdana"/>
          <w:color w:val="000000"/>
        </w:rPr>
        <w:t>: (a) size, (b) nature and circumstances, (c) legislative requirements, (d) resources, (e) operational priorities, (f) practicability and cost, (g) genuine attempts.</w:t>
      </w:r>
    </w:p>
    <w:p w14:paraId="0C6C040B" w14:textId="77777777" w:rsidR="005A67A9" w:rsidRPr="002112CD" w:rsidRDefault="005A67A9" w:rsidP="00067795">
      <w:pPr>
        <w:contextualSpacing/>
        <w:rPr>
          <w:rFonts w:ascii="Verdana" w:hAnsi="Verdana"/>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9"/>
        <w:gridCol w:w="1998"/>
        <w:gridCol w:w="6787"/>
        <w:gridCol w:w="4902"/>
      </w:tblGrid>
      <w:tr w:rsidR="005A67A9" w:rsidRPr="00F60477" w14:paraId="304A4D43" w14:textId="77777777" w:rsidTr="3ECC7EFB">
        <w:trPr>
          <w:tblHeader/>
        </w:trPr>
        <w:tc>
          <w:tcPr>
            <w:tcW w:w="555" w:type="pct"/>
            <w:tcBorders>
              <w:top w:val="single" w:sz="1" w:space="0" w:color="999999"/>
              <w:left w:val="single" w:sz="1" w:space="0" w:color="999999"/>
              <w:bottom w:val="single" w:sz="1" w:space="0" w:color="999999"/>
              <w:right w:val="single" w:sz="1" w:space="0" w:color="999999"/>
            </w:tcBorders>
            <w:shd w:val="clear" w:color="auto" w:fill="153D63" w:themeFill="text2" w:themeFillTint="E6"/>
            <w:tcMar>
              <w:top w:w="80" w:type="dxa"/>
              <w:left w:w="120" w:type="dxa"/>
              <w:bottom w:w="80" w:type="dxa"/>
              <w:right w:w="120" w:type="dxa"/>
            </w:tcMar>
          </w:tcPr>
          <w:p w14:paraId="2E27C18F" w14:textId="77777777" w:rsidR="005A67A9" w:rsidRPr="00F60477" w:rsidRDefault="005A67A9" w:rsidP="00067795">
            <w:pPr>
              <w:contextualSpacing/>
              <w:rPr>
                <w:rFonts w:ascii="Verdana" w:hAnsi="Verdana"/>
              </w:rPr>
            </w:pPr>
            <w:r w:rsidRPr="00F60477">
              <w:rPr>
                <w:rFonts w:ascii="Verdana" w:hAnsi="Verdana"/>
                <w:b/>
                <w:bCs/>
              </w:rPr>
              <w:t>Indicator</w:t>
            </w:r>
          </w:p>
        </w:tc>
        <w:tc>
          <w:tcPr>
            <w:tcW w:w="649" w:type="pct"/>
            <w:tcBorders>
              <w:top w:val="single" w:sz="1" w:space="0" w:color="999999"/>
              <w:left w:val="single" w:sz="1" w:space="0" w:color="999999"/>
              <w:bottom w:val="single" w:sz="1" w:space="0" w:color="999999"/>
              <w:right w:val="single" w:sz="1" w:space="0" w:color="999999"/>
            </w:tcBorders>
            <w:shd w:val="clear" w:color="auto" w:fill="153D63" w:themeFill="text2" w:themeFillTint="E6"/>
            <w:tcMar>
              <w:top w:w="80" w:type="dxa"/>
              <w:left w:w="120" w:type="dxa"/>
              <w:bottom w:w="80" w:type="dxa"/>
              <w:right w:w="120" w:type="dxa"/>
            </w:tcMar>
          </w:tcPr>
          <w:p w14:paraId="46396277" w14:textId="77777777" w:rsidR="005A67A9" w:rsidRPr="00F60477" w:rsidRDefault="005A67A9" w:rsidP="00067795">
            <w:pPr>
              <w:contextualSpacing/>
              <w:rPr>
                <w:rFonts w:ascii="Verdana" w:hAnsi="Verdana"/>
              </w:rPr>
            </w:pPr>
            <w:r w:rsidRPr="00F60477">
              <w:rPr>
                <w:rFonts w:ascii="Verdana" w:hAnsi="Verdana"/>
                <w:b/>
                <w:bCs/>
              </w:rPr>
              <w:t>Factors (select)</w:t>
            </w:r>
          </w:p>
        </w:tc>
        <w:tc>
          <w:tcPr>
            <w:tcW w:w="2204" w:type="pct"/>
            <w:tcBorders>
              <w:top w:val="single" w:sz="1" w:space="0" w:color="999999"/>
              <w:left w:val="single" w:sz="1" w:space="0" w:color="999999"/>
              <w:bottom w:val="single" w:sz="1" w:space="0" w:color="999999"/>
              <w:right w:val="single" w:sz="1" w:space="0" w:color="999999"/>
            </w:tcBorders>
            <w:shd w:val="clear" w:color="auto" w:fill="153D63" w:themeFill="text2" w:themeFillTint="E6"/>
            <w:tcMar>
              <w:top w:w="80" w:type="dxa"/>
              <w:left w:w="120" w:type="dxa"/>
              <w:bottom w:w="80" w:type="dxa"/>
              <w:right w:w="120" w:type="dxa"/>
            </w:tcMar>
          </w:tcPr>
          <w:p w14:paraId="22834F11" w14:textId="77777777" w:rsidR="005A67A9" w:rsidRPr="00F60477" w:rsidRDefault="005A67A9" w:rsidP="00067795">
            <w:pPr>
              <w:contextualSpacing/>
              <w:rPr>
                <w:rFonts w:ascii="Verdana" w:hAnsi="Verdana"/>
              </w:rPr>
            </w:pPr>
            <w:r w:rsidRPr="00F60477">
              <w:rPr>
                <w:rFonts w:ascii="Verdana" w:hAnsi="Verdana"/>
                <w:b/>
                <w:bCs/>
              </w:rPr>
              <w:t>Explain how factor(s) limited or contributed to progress</w:t>
            </w:r>
          </w:p>
        </w:tc>
        <w:tc>
          <w:tcPr>
            <w:tcW w:w="1592" w:type="pct"/>
            <w:tcBorders>
              <w:top w:val="single" w:sz="1" w:space="0" w:color="999999"/>
              <w:left w:val="single" w:sz="1" w:space="0" w:color="999999"/>
              <w:bottom w:val="single" w:sz="1" w:space="0" w:color="999999"/>
              <w:right w:val="single" w:sz="1" w:space="0" w:color="999999"/>
            </w:tcBorders>
            <w:shd w:val="clear" w:color="auto" w:fill="153D63" w:themeFill="text2" w:themeFillTint="E6"/>
            <w:tcMar>
              <w:top w:w="80" w:type="dxa"/>
              <w:left w:w="120" w:type="dxa"/>
              <w:bottom w:w="80" w:type="dxa"/>
              <w:right w:w="120" w:type="dxa"/>
            </w:tcMar>
          </w:tcPr>
          <w:p w14:paraId="227CFEDE" w14:textId="77777777" w:rsidR="005A67A9" w:rsidRPr="00F60477" w:rsidRDefault="005A67A9" w:rsidP="00067795">
            <w:pPr>
              <w:contextualSpacing/>
              <w:rPr>
                <w:rFonts w:ascii="Verdana" w:hAnsi="Verdana"/>
              </w:rPr>
            </w:pPr>
            <w:r w:rsidRPr="00F60477">
              <w:rPr>
                <w:rFonts w:ascii="Verdana" w:hAnsi="Verdana"/>
                <w:b/>
                <w:bCs/>
              </w:rPr>
              <w:t>Strategies implemented that contributed to or aligned with the indicator</w:t>
            </w:r>
          </w:p>
        </w:tc>
      </w:tr>
      <w:tr w:rsidR="005A67A9" w:rsidRPr="00F60477" w14:paraId="1204D811" w14:textId="77777777" w:rsidTr="3ECC7EFB">
        <w:tc>
          <w:tcPr>
            <w:tcW w:w="555" w:type="pct"/>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80" w:type="dxa"/>
              <w:left w:w="120" w:type="dxa"/>
              <w:bottom w:w="80" w:type="dxa"/>
              <w:right w:w="120" w:type="dxa"/>
            </w:tcMar>
            <w:vAlign w:val="center"/>
          </w:tcPr>
          <w:p w14:paraId="2D82C92D" w14:textId="77777777" w:rsidR="005A67A9" w:rsidRPr="00F60477" w:rsidRDefault="005A67A9" w:rsidP="00A563B9">
            <w:pPr>
              <w:contextualSpacing/>
              <w:rPr>
                <w:rFonts w:ascii="Verdana" w:hAnsi="Verdana"/>
              </w:rPr>
            </w:pPr>
            <w:r w:rsidRPr="00F60477">
              <w:rPr>
                <w:rFonts w:ascii="Verdana" w:hAnsi="Verdana"/>
                <w:b/>
                <w:bCs/>
              </w:rPr>
              <w:t>1</w:t>
            </w:r>
          </w:p>
        </w:tc>
        <w:tc>
          <w:tcPr>
            <w:tcW w:w="649"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D6C81EB" w14:textId="77777777" w:rsidR="005A67A9" w:rsidRPr="00F60477" w:rsidRDefault="005A67A9" w:rsidP="00067795">
            <w:pPr>
              <w:contextualSpacing/>
              <w:rPr>
                <w:rFonts w:ascii="Verdana" w:hAnsi="Verdana"/>
              </w:rPr>
            </w:pPr>
            <w:r w:rsidRPr="00F60477">
              <w:rPr>
                <w:rFonts w:ascii="Verdana" w:hAnsi="Verdana"/>
              </w:rPr>
              <w:t>b, e, f, g</w:t>
            </w:r>
          </w:p>
        </w:tc>
        <w:tc>
          <w:tcPr>
            <w:tcW w:w="2204"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6C0BB30" w14:textId="65A4775F" w:rsidR="005A67A9" w:rsidRPr="00F60477" w:rsidRDefault="005A67A9" w:rsidP="00067795">
            <w:pPr>
              <w:contextualSpacing/>
              <w:rPr>
                <w:rFonts w:ascii="Verdana" w:hAnsi="Verdana"/>
              </w:rPr>
            </w:pPr>
            <w:r w:rsidRPr="00F60477">
              <w:rPr>
                <w:rFonts w:ascii="Verdana" w:hAnsi="Verdana"/>
                <w:b/>
                <w:bCs/>
              </w:rPr>
              <w:t xml:space="preserve">(b) </w:t>
            </w:r>
            <w:r w:rsidR="00641205" w:rsidRPr="00641205">
              <w:rPr>
                <w:rFonts w:ascii="Verdana" w:hAnsi="Verdana"/>
              </w:rPr>
              <w:t xml:space="preserve">Nature and Circumstances: The Eye and Ear </w:t>
            </w:r>
            <w:proofErr w:type="gramStart"/>
            <w:r w:rsidR="00641205" w:rsidRPr="00641205">
              <w:rPr>
                <w:rFonts w:ascii="Verdana" w:hAnsi="Verdana"/>
              </w:rPr>
              <w:t>is</w:t>
            </w:r>
            <w:proofErr w:type="gramEnd"/>
            <w:r w:rsidR="00641205" w:rsidRPr="00641205">
              <w:rPr>
                <w:rFonts w:ascii="Verdana" w:hAnsi="Verdana"/>
              </w:rPr>
              <w:t xml:space="preserve"> a specialist public hospital with a fundamentally flat organisational structure. Four positions exist above Level -2, each tied to a specific professional stream (medical, nursing, non-clinical)</w:t>
            </w:r>
            <w:r w:rsidR="004D6E56">
              <w:rPr>
                <w:rFonts w:ascii="Verdana" w:hAnsi="Verdana"/>
              </w:rPr>
              <w:t>.</w:t>
            </w:r>
            <w:r w:rsidR="00641205" w:rsidRPr="00641205">
              <w:rPr>
                <w:rFonts w:ascii="Verdana" w:hAnsi="Verdana"/>
              </w:rPr>
              <w:t xml:space="preserve"> The 1,096-person workforce is distributed across four occupational groups governed by 7 different enterprise bargaining agreements, with levels reflecting award classifications and role types rather than a shared organisational hierarchy. Workforce composition is shaped by professional qualification pathways and national educational patterns. Employment type distributions reflect operational design for 24/7 patient care and specialist practice, evidenced by near-identical part-time rates for women and men within clinical occupational groups.</w:t>
            </w:r>
          </w:p>
          <w:p w14:paraId="7AD9D75B" w14:textId="0B008056" w:rsidR="005A67A9" w:rsidRPr="00F60477" w:rsidRDefault="005A67A9" w:rsidP="00067795">
            <w:pPr>
              <w:contextualSpacing/>
              <w:rPr>
                <w:rFonts w:ascii="Verdana" w:hAnsi="Verdana"/>
              </w:rPr>
            </w:pPr>
            <w:r w:rsidRPr="00F60477">
              <w:rPr>
                <w:rFonts w:ascii="Verdana" w:hAnsi="Verdana"/>
                <w:b/>
                <w:bCs/>
              </w:rPr>
              <w:t xml:space="preserve">(e) </w:t>
            </w:r>
            <w:r w:rsidR="00237489" w:rsidRPr="00C74A0C">
              <w:rPr>
                <w:rFonts w:ascii="Verdana" w:hAnsi="Verdana" w:cs="Courier New"/>
                <w:bCs/>
              </w:rPr>
              <w:t xml:space="preserve">Operational Priorities: </w:t>
            </w:r>
            <w:r w:rsidRPr="00F60477">
              <w:rPr>
                <w:rFonts w:ascii="Verdana" w:hAnsi="Verdana"/>
              </w:rPr>
              <w:t xml:space="preserve">Clinical service delivery requirements shape workforce structure, including 24/7 emergency coverage, structured registrar rotations, </w:t>
            </w:r>
            <w:r w:rsidR="00E73860">
              <w:rPr>
                <w:rFonts w:ascii="Verdana" w:hAnsi="Verdana"/>
              </w:rPr>
              <w:t>nursing ratios</w:t>
            </w:r>
            <w:r w:rsidR="00A10A8F">
              <w:rPr>
                <w:rFonts w:ascii="Verdana" w:hAnsi="Verdana"/>
              </w:rPr>
              <w:t xml:space="preserve"> </w:t>
            </w:r>
            <w:r w:rsidRPr="00F60477">
              <w:rPr>
                <w:rFonts w:ascii="Verdana" w:hAnsi="Verdana"/>
              </w:rPr>
              <w:t xml:space="preserve">and multidisciplinary allied health teams. Government funding </w:t>
            </w:r>
            <w:r w:rsidR="00CC1323">
              <w:rPr>
                <w:rFonts w:ascii="Verdana" w:hAnsi="Verdana"/>
              </w:rPr>
              <w:t>determines</w:t>
            </w:r>
            <w:r w:rsidR="00CC1323" w:rsidRPr="00F60477">
              <w:rPr>
                <w:rFonts w:ascii="Verdana" w:hAnsi="Verdana"/>
              </w:rPr>
              <w:t xml:space="preserve"> </w:t>
            </w:r>
            <w:r w:rsidRPr="00F60477">
              <w:rPr>
                <w:rFonts w:ascii="Verdana" w:hAnsi="Verdana"/>
              </w:rPr>
              <w:t xml:space="preserve">total FTE. Gender equality initiatives focus on areas within direct organisational control, particularly </w:t>
            </w:r>
            <w:proofErr w:type="gramStart"/>
            <w:r w:rsidRPr="00F60477">
              <w:rPr>
                <w:rFonts w:ascii="Verdana" w:hAnsi="Verdana"/>
              </w:rPr>
              <w:t>Non-Clinical</w:t>
            </w:r>
            <w:proofErr w:type="gramEnd"/>
            <w:r w:rsidRPr="00F60477">
              <w:rPr>
                <w:rFonts w:ascii="Verdana" w:hAnsi="Verdana"/>
              </w:rPr>
              <w:t xml:space="preserve"> employment structures and equitable access to advancement.</w:t>
            </w:r>
          </w:p>
          <w:p w14:paraId="1227C3BC" w14:textId="1A260377" w:rsidR="005A67A9" w:rsidRPr="00F60477" w:rsidRDefault="005A67A9" w:rsidP="00067795">
            <w:pPr>
              <w:contextualSpacing/>
              <w:rPr>
                <w:rFonts w:ascii="Verdana" w:hAnsi="Verdana"/>
              </w:rPr>
            </w:pPr>
            <w:r w:rsidRPr="00F60477">
              <w:rPr>
                <w:rFonts w:ascii="Verdana" w:hAnsi="Verdana"/>
                <w:b/>
                <w:bCs/>
              </w:rPr>
              <w:t xml:space="preserve">(f) </w:t>
            </w:r>
            <w:r w:rsidR="00655F19" w:rsidRPr="00C74A0C">
              <w:rPr>
                <w:rFonts w:ascii="Verdana" w:hAnsi="Verdana" w:cs="Courier New"/>
                <w:bCs/>
              </w:rPr>
              <w:t xml:space="preserve">Practicability: </w:t>
            </w:r>
            <w:r w:rsidRPr="00F60477">
              <w:rPr>
                <w:rFonts w:ascii="Verdana" w:hAnsi="Verdana"/>
              </w:rPr>
              <w:t xml:space="preserve">Nursing education remains approximately 85–90% </w:t>
            </w:r>
            <w:r w:rsidR="00CC0A11" w:rsidRPr="00F60477">
              <w:rPr>
                <w:rFonts w:ascii="Verdana" w:hAnsi="Verdana"/>
              </w:rPr>
              <w:t>women</w:t>
            </w:r>
            <w:r w:rsidRPr="00F60477">
              <w:rPr>
                <w:rFonts w:ascii="Verdana" w:hAnsi="Verdana"/>
              </w:rPr>
              <w:t xml:space="preserve"> nationally, and medical specialist training demographics take a decade or more to flow through to workforce composition. </w:t>
            </w:r>
            <w:r w:rsidR="00655F19">
              <w:rPr>
                <w:rFonts w:ascii="Verdana" w:hAnsi="Verdana"/>
              </w:rPr>
              <w:t>Seven</w:t>
            </w:r>
            <w:r w:rsidR="00655F19" w:rsidRPr="00F60477">
              <w:rPr>
                <w:rFonts w:ascii="Verdana" w:hAnsi="Verdana"/>
              </w:rPr>
              <w:t xml:space="preserve"> </w:t>
            </w:r>
            <w:r w:rsidRPr="00F60477">
              <w:rPr>
                <w:rFonts w:ascii="Verdana" w:hAnsi="Verdana"/>
              </w:rPr>
              <w:t>enterprise bargaining agreements govern classification structures. Two-year reporting periods cannot capture generational change timeframes, though age-based pipeline analysis demonstrates improvements materialising over 10–15 years.</w:t>
            </w:r>
          </w:p>
          <w:p w14:paraId="4ED835F4" w14:textId="7380633B" w:rsidR="00C557B1" w:rsidRDefault="005A67A9" w:rsidP="00067795">
            <w:pPr>
              <w:contextualSpacing/>
              <w:rPr>
                <w:rFonts w:ascii="Verdana" w:hAnsi="Verdana"/>
              </w:rPr>
            </w:pPr>
            <w:r w:rsidRPr="00F60477">
              <w:rPr>
                <w:rFonts w:ascii="Verdana" w:hAnsi="Verdana"/>
                <w:b/>
                <w:bCs/>
              </w:rPr>
              <w:t xml:space="preserve">(g) </w:t>
            </w:r>
            <w:r w:rsidR="00AE73A3" w:rsidRPr="00047833">
              <w:rPr>
                <w:rFonts w:ascii="Verdana" w:hAnsi="Verdana"/>
              </w:rPr>
              <w:t>Genuine Attempts:</w:t>
            </w:r>
            <w:r w:rsidR="00AE73A3" w:rsidRPr="007A57AB">
              <w:rPr>
                <w:rFonts w:ascii="Verdana" w:hAnsi="Verdana"/>
              </w:rPr>
              <w:t xml:space="preserve"> </w:t>
            </w:r>
            <w:r w:rsidR="00E82DA9" w:rsidRPr="007A57AB">
              <w:rPr>
                <w:rFonts w:ascii="Verdana" w:hAnsi="Verdana"/>
              </w:rPr>
              <w:t>The</w:t>
            </w:r>
            <w:r w:rsidR="00E82DA9">
              <w:rPr>
                <w:rFonts w:ascii="Verdana" w:hAnsi="Verdana"/>
                <w:b/>
                <w:bCs/>
              </w:rPr>
              <w:t xml:space="preserve"> </w:t>
            </w:r>
            <w:r w:rsidR="00D00565" w:rsidRPr="00D00565">
              <w:rPr>
                <w:rFonts w:ascii="Verdana" w:hAnsi="Verdana"/>
              </w:rPr>
              <w:t>Eye and Ear appointed a woman to the Executive Director Operations</w:t>
            </w:r>
            <w:r w:rsidR="002C57E6">
              <w:rPr>
                <w:rFonts w:ascii="Verdana" w:hAnsi="Verdana"/>
              </w:rPr>
              <w:t>/Chief Nursing Officer</w:t>
            </w:r>
            <w:r w:rsidR="00D00565" w:rsidRPr="00D00565">
              <w:rPr>
                <w:rFonts w:ascii="Verdana" w:hAnsi="Verdana"/>
              </w:rPr>
              <w:t xml:space="preserve"> role at Level -1, (with a further appointment since the audit bringing executive representation to 50%). This role provides executive-</w:t>
            </w:r>
            <w:r w:rsidR="00D00565" w:rsidRPr="00D00565">
              <w:rPr>
                <w:rFonts w:ascii="Verdana" w:hAnsi="Verdana"/>
              </w:rPr>
              <w:lastRenderedPageBreak/>
              <w:t xml:space="preserve">level leadership representation for the organisation's largest and most woman-dominated professional group. </w:t>
            </w:r>
          </w:p>
          <w:p w14:paraId="3EC41352" w14:textId="77777777" w:rsidR="00C557B1" w:rsidRDefault="00C557B1" w:rsidP="00067795">
            <w:pPr>
              <w:contextualSpacing/>
              <w:rPr>
                <w:rFonts w:ascii="Verdana" w:hAnsi="Verdana"/>
              </w:rPr>
            </w:pPr>
          </w:p>
          <w:p w14:paraId="568C7FF8" w14:textId="77777777" w:rsidR="005B4D88" w:rsidRDefault="00D00565" w:rsidP="00067795">
            <w:pPr>
              <w:contextualSpacing/>
              <w:rPr>
                <w:rFonts w:ascii="Verdana" w:hAnsi="Verdana"/>
              </w:rPr>
            </w:pPr>
            <w:r w:rsidRPr="00D00565">
              <w:rPr>
                <w:rFonts w:ascii="Verdana" w:hAnsi="Verdana"/>
              </w:rPr>
              <w:t xml:space="preserve">The organisation developed occupational group and level-to-CEO analysis frameworks that distinguish structural reality from apparent progression barriers, achieved near-parity in part-time rates, and identified </w:t>
            </w:r>
            <w:proofErr w:type="gramStart"/>
            <w:r w:rsidRPr="00D00565">
              <w:rPr>
                <w:rFonts w:ascii="Verdana" w:hAnsi="Verdana"/>
              </w:rPr>
              <w:t>Non-Clinical</w:t>
            </w:r>
            <w:proofErr w:type="gramEnd"/>
            <w:r w:rsidRPr="00D00565">
              <w:rPr>
                <w:rFonts w:ascii="Verdana" w:hAnsi="Verdana"/>
              </w:rPr>
              <w:t xml:space="preserve"> as the priority for targeted action on progression pathways within woman-dominated streams. </w:t>
            </w:r>
          </w:p>
          <w:p w14:paraId="277E09FE" w14:textId="77777777" w:rsidR="005B4D88" w:rsidRDefault="005B4D88" w:rsidP="00067795">
            <w:pPr>
              <w:contextualSpacing/>
              <w:rPr>
                <w:rFonts w:ascii="Verdana" w:hAnsi="Verdana"/>
              </w:rPr>
            </w:pPr>
          </w:p>
          <w:p w14:paraId="1A8CB893" w14:textId="4E7CDED9" w:rsidR="005A67A9" w:rsidRPr="00F60477" w:rsidRDefault="00D00565" w:rsidP="00067795">
            <w:pPr>
              <w:contextualSpacing/>
              <w:rPr>
                <w:rFonts w:ascii="Verdana" w:hAnsi="Verdana"/>
              </w:rPr>
            </w:pPr>
            <w:r w:rsidRPr="00D00565">
              <w:rPr>
                <w:rFonts w:ascii="Verdana" w:hAnsi="Verdana"/>
              </w:rPr>
              <w:t>The 2026-2030 GEAP includes specific actions to investigate what meaningful career development looks like within each occupational group, rather than applying a single progression model across fundamentally different professional structures.</w:t>
            </w:r>
          </w:p>
        </w:tc>
        <w:tc>
          <w:tcPr>
            <w:tcW w:w="1592"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CF2C4A9" w14:textId="57B40559" w:rsidR="005A67A9" w:rsidRPr="00E21D48" w:rsidRDefault="5F2D04D2" w:rsidP="2B71850E">
            <w:pPr>
              <w:contextualSpacing/>
              <w:rPr>
                <w:rFonts w:ascii="Verdana" w:eastAsia="Verdana" w:hAnsi="Verdana" w:cs="Verdana"/>
              </w:rPr>
            </w:pPr>
            <w:r w:rsidRPr="2B71850E">
              <w:rPr>
                <w:rFonts w:ascii="Verdana" w:eastAsia="Verdana" w:hAnsi="Verdana" w:cs="Verdana"/>
              </w:rPr>
              <w:lastRenderedPageBreak/>
              <w:t xml:space="preserve">Action 1.1a (intersectional employee data collection): Completed via </w:t>
            </w:r>
            <w:r w:rsidR="003066A1">
              <w:rPr>
                <w:rFonts w:ascii="Verdana" w:eastAsia="Verdana" w:hAnsi="Verdana" w:cs="Verdana"/>
              </w:rPr>
              <w:t>HRIS (</w:t>
            </w:r>
            <w:proofErr w:type="spellStart"/>
            <w:r w:rsidRPr="2B71850E">
              <w:rPr>
                <w:rFonts w:ascii="Verdana" w:eastAsia="Verdana" w:hAnsi="Verdana" w:cs="Verdana"/>
              </w:rPr>
              <w:t>PeopleHub</w:t>
            </w:r>
            <w:proofErr w:type="spellEnd"/>
            <w:r w:rsidR="003066A1">
              <w:rPr>
                <w:rFonts w:ascii="Verdana" w:eastAsia="Verdana" w:hAnsi="Verdana" w:cs="Verdana"/>
              </w:rPr>
              <w:t>)</w:t>
            </w:r>
            <w:r w:rsidRPr="2B71850E">
              <w:rPr>
                <w:rFonts w:ascii="Verdana" w:eastAsia="Verdana" w:hAnsi="Verdana" w:cs="Verdana"/>
              </w:rPr>
              <w:t xml:space="preserve"> rollout.</w:t>
            </w:r>
          </w:p>
          <w:p w14:paraId="4E289B06" w14:textId="702D3E9B" w:rsidR="005A67A9" w:rsidRPr="00E21D48" w:rsidRDefault="5F2D04D2" w:rsidP="2B71850E">
            <w:pPr>
              <w:contextualSpacing/>
            </w:pPr>
            <w:r w:rsidRPr="2B71850E">
              <w:rPr>
                <w:rFonts w:ascii="Verdana" w:eastAsia="Verdana" w:hAnsi="Verdana" w:cs="Verdana"/>
              </w:rPr>
              <w:t>Action 1.1b (systems update for intersectional recruitment data): Completed.</w:t>
            </w:r>
          </w:p>
          <w:p w14:paraId="0D063E5A" w14:textId="55DA7FA6" w:rsidR="005A67A9" w:rsidRPr="00E21D48" w:rsidRDefault="5F2D04D2" w:rsidP="2B71850E">
            <w:pPr>
              <w:contextualSpacing/>
            </w:pPr>
            <w:r w:rsidRPr="2B71850E">
              <w:rPr>
                <w:rFonts w:ascii="Verdana" w:eastAsia="Verdana" w:hAnsi="Verdana" w:cs="Verdana"/>
              </w:rPr>
              <w:t>Action 1.1c (secondment program): Completed. Information available but requires review.</w:t>
            </w:r>
          </w:p>
          <w:p w14:paraId="00F74FD2" w14:textId="2514C942" w:rsidR="005A67A9" w:rsidRPr="00E21D48" w:rsidRDefault="5F2D04D2" w:rsidP="2B71850E">
            <w:pPr>
              <w:contextualSpacing/>
            </w:pPr>
            <w:r w:rsidRPr="2B71850E">
              <w:rPr>
                <w:rFonts w:ascii="Verdana" w:eastAsia="Verdana" w:hAnsi="Verdana" w:cs="Verdana"/>
              </w:rPr>
              <w:t>Action 1.2a (celebrate and support intersectional identities): Completed. Pride Alliance established, pronoun pins distributed to 24% of staff, religious and cultural calendar expanded, disability and Deaf Awareness training delivered.</w:t>
            </w:r>
          </w:p>
          <w:p w14:paraId="43D4DC89" w14:textId="1CBD7156" w:rsidR="005A67A9" w:rsidRPr="00E21D48" w:rsidRDefault="5F2D04D2" w:rsidP="2B71850E">
            <w:pPr>
              <w:contextualSpacing/>
            </w:pPr>
            <w:r w:rsidRPr="2B71850E">
              <w:rPr>
                <w:rFonts w:ascii="Verdana" w:eastAsia="Verdana" w:hAnsi="Verdana" w:cs="Verdana"/>
              </w:rPr>
              <w:t>Action 1.2b (leadership and champions trained in monocultural thinking and unconscious bias): Completed. Clinical executive team trained Nov-Dec 2022; clinical education, partnerships, allied health and pharmacy leadership trained 2023; quality and safety and remaining pharmacists trained 2024.</w:t>
            </w:r>
          </w:p>
          <w:p w14:paraId="7B433712" w14:textId="3C1643B6" w:rsidR="005A67A9" w:rsidRPr="003D3F30" w:rsidRDefault="5F2D04D2" w:rsidP="003D3F30">
            <w:pPr>
              <w:pStyle w:val="pf0"/>
              <w:rPr>
                <w:rFonts w:ascii="Verdana" w:eastAsia="Verdana" w:hAnsi="Verdana" w:cs="Verdana"/>
              </w:rPr>
            </w:pPr>
            <w:r w:rsidRPr="00AE58B8">
              <w:rPr>
                <w:rFonts w:ascii="Verdana" w:eastAsia="Verdana" w:hAnsi="Verdana" w:cs="Verdana"/>
                <w:sz w:val="20"/>
                <w:szCs w:val="20"/>
              </w:rPr>
              <w:t>Strategy 1.3 Action (</w:t>
            </w:r>
            <w:r w:rsidRPr="00C02337">
              <w:rPr>
                <w:rFonts w:ascii="Verdana" w:eastAsia="Verdana" w:hAnsi="Verdana" w:cs="Verdana"/>
                <w:sz w:val="20"/>
                <w:szCs w:val="20"/>
              </w:rPr>
              <w:t xml:space="preserve">40:40:20 </w:t>
            </w:r>
            <w:r w:rsidR="00C02337" w:rsidRPr="00C02337">
              <w:rPr>
                <w:rFonts w:ascii="Verdana" w:eastAsia="Verdana" w:hAnsi="Verdana" w:cs="Verdana"/>
                <w:sz w:val="20"/>
                <w:szCs w:val="20"/>
              </w:rPr>
              <w:t xml:space="preserve">- </w:t>
            </w:r>
            <w:r w:rsidR="00C02337" w:rsidRPr="003D3F30">
              <w:rPr>
                <w:rFonts w:ascii="Verdana" w:eastAsia="Verdana" w:hAnsi="Verdana" w:cs="Verdana"/>
                <w:sz w:val="20"/>
                <w:szCs w:val="20"/>
              </w:rPr>
              <w:t xml:space="preserve">40% male 40% female and 20% non-described </w:t>
            </w:r>
            <w:r w:rsidR="00AE58B8">
              <w:rPr>
                <w:rFonts w:ascii="Verdana" w:eastAsia="Verdana" w:hAnsi="Verdana" w:cs="Verdana"/>
                <w:sz w:val="20"/>
                <w:szCs w:val="20"/>
              </w:rPr>
              <w:t>f</w:t>
            </w:r>
            <w:r w:rsidRPr="00AE58B8">
              <w:rPr>
                <w:rFonts w:ascii="Verdana" w:eastAsia="Verdana" w:hAnsi="Verdana" w:cs="Verdana"/>
                <w:sz w:val="20"/>
                <w:szCs w:val="20"/>
              </w:rPr>
              <w:t xml:space="preserve">or Gender Change model): Discontinued. Not a realistic goal </w:t>
            </w:r>
            <w:r w:rsidR="00B70E54">
              <w:rPr>
                <w:rFonts w:ascii="Verdana" w:eastAsia="Verdana" w:hAnsi="Verdana" w:cs="Verdana"/>
                <w:sz w:val="20"/>
                <w:szCs w:val="20"/>
              </w:rPr>
              <w:t xml:space="preserve">until non-described disclosure </w:t>
            </w:r>
            <w:r w:rsidR="008B4C85">
              <w:rPr>
                <w:rFonts w:ascii="Verdana" w:eastAsia="Verdana" w:hAnsi="Verdana" w:cs="Verdana"/>
                <w:sz w:val="20"/>
                <w:szCs w:val="20"/>
              </w:rPr>
              <w:t xml:space="preserve">increases. </w:t>
            </w:r>
          </w:p>
          <w:p w14:paraId="55936133" w14:textId="715A30DD" w:rsidR="005A67A9" w:rsidRPr="00E21D48" w:rsidRDefault="005A67A9" w:rsidP="3ECC7EFB">
            <w:pPr>
              <w:contextualSpacing/>
              <w:rPr>
                <w:rFonts w:ascii="Verdana" w:eastAsia="Verdana" w:hAnsi="Verdana" w:cs="Verdana"/>
              </w:rPr>
            </w:pPr>
          </w:p>
        </w:tc>
      </w:tr>
      <w:tr w:rsidR="005A67A9" w:rsidRPr="00F60477" w14:paraId="539943AA" w14:textId="77777777" w:rsidTr="3ECC7EFB">
        <w:tc>
          <w:tcPr>
            <w:tcW w:w="555" w:type="pct"/>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80" w:type="dxa"/>
              <w:left w:w="120" w:type="dxa"/>
              <w:bottom w:w="80" w:type="dxa"/>
              <w:right w:w="120" w:type="dxa"/>
            </w:tcMar>
            <w:vAlign w:val="center"/>
          </w:tcPr>
          <w:p w14:paraId="5EE1C549" w14:textId="77777777" w:rsidR="005A67A9" w:rsidRPr="00F60477" w:rsidRDefault="005A67A9" w:rsidP="00A563B9">
            <w:pPr>
              <w:contextualSpacing/>
              <w:rPr>
                <w:rFonts w:ascii="Verdana" w:hAnsi="Verdana"/>
              </w:rPr>
            </w:pPr>
            <w:r w:rsidRPr="00F60477">
              <w:rPr>
                <w:rFonts w:ascii="Verdana" w:hAnsi="Verdana"/>
                <w:b/>
                <w:bCs/>
              </w:rPr>
              <w:t>2</w:t>
            </w:r>
          </w:p>
        </w:tc>
        <w:tc>
          <w:tcPr>
            <w:tcW w:w="649"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65A7BCE" w14:textId="77777777" w:rsidR="005A67A9" w:rsidRPr="00F60477" w:rsidRDefault="005A67A9" w:rsidP="00067795">
            <w:pPr>
              <w:contextualSpacing/>
              <w:rPr>
                <w:rFonts w:ascii="Verdana" w:hAnsi="Verdana"/>
              </w:rPr>
            </w:pPr>
            <w:r w:rsidRPr="00F60477">
              <w:rPr>
                <w:rFonts w:ascii="Verdana" w:hAnsi="Verdana"/>
              </w:rPr>
              <w:t>b, e</w:t>
            </w:r>
          </w:p>
        </w:tc>
        <w:tc>
          <w:tcPr>
            <w:tcW w:w="2204"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84C5219" w14:textId="580880AF" w:rsidR="005A67A9" w:rsidRPr="00F60477" w:rsidRDefault="005A67A9" w:rsidP="00067795">
            <w:pPr>
              <w:contextualSpacing/>
              <w:rPr>
                <w:rFonts w:ascii="Verdana" w:hAnsi="Verdana"/>
              </w:rPr>
            </w:pPr>
            <w:r w:rsidRPr="00F60477">
              <w:rPr>
                <w:rFonts w:ascii="Verdana" w:hAnsi="Verdana"/>
                <w:b/>
                <w:bCs/>
              </w:rPr>
              <w:t xml:space="preserve">(b) </w:t>
            </w:r>
            <w:r w:rsidRPr="00F60477">
              <w:rPr>
                <w:rFonts w:ascii="Verdana" w:hAnsi="Verdana"/>
              </w:rPr>
              <w:t xml:space="preserve">Board directors are appointed by the Department of Health for three-year terms, with final appointments recommended to the Minister for Health and approved by the Governor in Council. </w:t>
            </w:r>
            <w:r w:rsidR="00E82DA9">
              <w:rPr>
                <w:rFonts w:ascii="Verdana" w:hAnsi="Verdana"/>
              </w:rPr>
              <w:t xml:space="preserve">The </w:t>
            </w:r>
            <w:r w:rsidRPr="00F60477">
              <w:rPr>
                <w:rFonts w:ascii="Verdana" w:hAnsi="Verdana"/>
              </w:rPr>
              <w:t xml:space="preserve">Eye and Ear </w:t>
            </w:r>
            <w:proofErr w:type="gramStart"/>
            <w:r w:rsidRPr="00F60477">
              <w:rPr>
                <w:rFonts w:ascii="Verdana" w:hAnsi="Verdana"/>
              </w:rPr>
              <w:t>has</w:t>
            </w:r>
            <w:proofErr w:type="gramEnd"/>
            <w:r w:rsidRPr="00F60477">
              <w:rPr>
                <w:rFonts w:ascii="Verdana" w:hAnsi="Verdana"/>
              </w:rPr>
              <w:t xml:space="preserve"> no authority over director selection.</w:t>
            </w:r>
          </w:p>
          <w:p w14:paraId="12F64EC5" w14:textId="48DBC479" w:rsidR="005A67A9" w:rsidRPr="00F60477" w:rsidRDefault="005A67A9" w:rsidP="00067795">
            <w:pPr>
              <w:contextualSpacing/>
              <w:rPr>
                <w:rFonts w:ascii="Verdana" w:hAnsi="Verdana"/>
              </w:rPr>
            </w:pPr>
            <w:r w:rsidRPr="00F60477">
              <w:rPr>
                <w:rFonts w:ascii="Verdana" w:hAnsi="Verdana"/>
                <w:b/>
                <w:bCs/>
              </w:rPr>
              <w:t xml:space="preserve">(e) </w:t>
            </w:r>
            <w:r w:rsidRPr="00F60477">
              <w:rPr>
                <w:rFonts w:ascii="Verdana" w:hAnsi="Verdana"/>
              </w:rPr>
              <w:t>When vacancies occur, the Board Chair identifies required skills and participates in the interview panel, However, the candidate shortlist is controlled by the Department of Health</w:t>
            </w:r>
            <w:r w:rsidR="00C57399">
              <w:rPr>
                <w:rFonts w:ascii="Verdana" w:hAnsi="Verdana"/>
              </w:rPr>
              <w:t xml:space="preserve"> and</w:t>
            </w:r>
            <w:r w:rsidR="007476C6">
              <w:rPr>
                <w:rFonts w:ascii="Verdana" w:hAnsi="Verdana"/>
              </w:rPr>
              <w:t xml:space="preserve"> </w:t>
            </w:r>
            <w:r w:rsidR="00A13799">
              <w:rPr>
                <w:rFonts w:ascii="Verdana" w:hAnsi="Verdana"/>
              </w:rPr>
              <w:t>ind</w:t>
            </w:r>
            <w:r w:rsidR="00A13799" w:rsidRPr="00F60477">
              <w:rPr>
                <w:rFonts w:ascii="Verdana" w:hAnsi="Verdana"/>
              </w:rPr>
              <w:t>ividuals</w:t>
            </w:r>
            <w:r w:rsidRPr="00F60477">
              <w:rPr>
                <w:rFonts w:ascii="Verdana" w:hAnsi="Verdana"/>
              </w:rPr>
              <w:t xml:space="preserve"> apply through boards.vic.gov.au.</w:t>
            </w:r>
          </w:p>
        </w:tc>
        <w:tc>
          <w:tcPr>
            <w:tcW w:w="1592"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A672F95" w14:textId="3E06AE1F" w:rsidR="005A67A9" w:rsidRPr="00F60477" w:rsidRDefault="005A67A9" w:rsidP="00901088">
            <w:pPr>
              <w:contextualSpacing/>
              <w:rPr>
                <w:rFonts w:ascii="Verdana" w:hAnsi="Verdana"/>
              </w:rPr>
            </w:pPr>
            <w:r w:rsidRPr="00F60477">
              <w:rPr>
                <w:rFonts w:ascii="Verdana" w:hAnsi="Verdana"/>
              </w:rPr>
              <w:t>No GEAP strategies directly address this indicator as board appointments are externally controlled</w:t>
            </w:r>
            <w:r w:rsidR="00901088">
              <w:rPr>
                <w:rFonts w:ascii="Verdana" w:hAnsi="Verdana"/>
              </w:rPr>
              <w:t xml:space="preserve">. </w:t>
            </w:r>
          </w:p>
        </w:tc>
      </w:tr>
      <w:tr w:rsidR="005A67A9" w:rsidRPr="00F60477" w14:paraId="7DA2DCC6" w14:textId="77777777" w:rsidTr="3ECC7EFB">
        <w:tc>
          <w:tcPr>
            <w:tcW w:w="555" w:type="pct"/>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80" w:type="dxa"/>
              <w:left w:w="120" w:type="dxa"/>
              <w:bottom w:w="80" w:type="dxa"/>
              <w:right w:w="120" w:type="dxa"/>
            </w:tcMar>
            <w:vAlign w:val="center"/>
          </w:tcPr>
          <w:p w14:paraId="39C5B71C" w14:textId="77777777" w:rsidR="005A67A9" w:rsidRPr="00F60477" w:rsidRDefault="005A67A9" w:rsidP="00A563B9">
            <w:pPr>
              <w:contextualSpacing/>
              <w:rPr>
                <w:rFonts w:ascii="Verdana" w:hAnsi="Verdana"/>
              </w:rPr>
            </w:pPr>
            <w:r w:rsidRPr="00F60477">
              <w:rPr>
                <w:rFonts w:ascii="Verdana" w:hAnsi="Verdana"/>
                <w:b/>
                <w:bCs/>
              </w:rPr>
              <w:t>3</w:t>
            </w:r>
          </w:p>
        </w:tc>
        <w:tc>
          <w:tcPr>
            <w:tcW w:w="649"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10E8BA7" w14:textId="77777777" w:rsidR="005A67A9" w:rsidRPr="00F60477" w:rsidRDefault="005A67A9" w:rsidP="00067795">
            <w:pPr>
              <w:contextualSpacing/>
              <w:rPr>
                <w:rFonts w:ascii="Verdana" w:hAnsi="Verdana"/>
              </w:rPr>
            </w:pPr>
            <w:r w:rsidRPr="00F60477">
              <w:rPr>
                <w:rFonts w:ascii="Verdana" w:hAnsi="Verdana"/>
              </w:rPr>
              <w:t>b, e, g</w:t>
            </w:r>
          </w:p>
        </w:tc>
        <w:tc>
          <w:tcPr>
            <w:tcW w:w="2204"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61087BE" w14:textId="6809A99B" w:rsidR="005A67A9" w:rsidRPr="00F60477" w:rsidRDefault="005A67A9" w:rsidP="00067795">
            <w:pPr>
              <w:contextualSpacing/>
              <w:rPr>
                <w:rFonts w:ascii="Verdana" w:hAnsi="Verdana"/>
              </w:rPr>
            </w:pPr>
            <w:r w:rsidRPr="00F60477">
              <w:rPr>
                <w:rFonts w:ascii="Verdana" w:hAnsi="Verdana"/>
                <w:b/>
                <w:bCs/>
              </w:rPr>
              <w:t xml:space="preserve">(b) </w:t>
            </w:r>
            <w:r w:rsidR="00047833" w:rsidRPr="00E4681A">
              <w:rPr>
                <w:rFonts w:ascii="Verdana" w:hAnsi="Verdana"/>
              </w:rPr>
              <w:t xml:space="preserve">Nature and </w:t>
            </w:r>
            <w:r w:rsidR="00D0279A" w:rsidRPr="00E4681A">
              <w:rPr>
                <w:rFonts w:ascii="Verdana" w:hAnsi="Verdana"/>
              </w:rPr>
              <w:t>Circumstances:</w:t>
            </w:r>
            <w:r w:rsidR="00D0279A">
              <w:rPr>
                <w:rFonts w:ascii="Verdana" w:hAnsi="Verdana"/>
                <w:b/>
                <w:bCs/>
              </w:rPr>
              <w:t xml:space="preserve"> </w:t>
            </w:r>
            <w:r w:rsidR="00BF5E57" w:rsidRPr="00901088">
              <w:rPr>
                <w:rFonts w:ascii="Verdana" w:hAnsi="Verdana"/>
              </w:rPr>
              <w:t xml:space="preserve">The 37% organisational pay gap is driven by occupational segregation, not unequal pay. Within-occupation analysis shows near parity: Medical 0-2%, Nursing 1-4%, </w:t>
            </w:r>
            <w:r w:rsidR="00040762">
              <w:rPr>
                <w:rFonts w:ascii="Verdana" w:hAnsi="Verdana"/>
              </w:rPr>
              <w:t>Allied Health</w:t>
            </w:r>
            <w:r w:rsidR="00BF5E57" w:rsidRPr="00901088">
              <w:rPr>
                <w:rFonts w:ascii="Verdana" w:hAnsi="Verdana"/>
              </w:rPr>
              <w:t xml:space="preserve"> reverse gap of 11-16% favouring women. The differential between medical and nursing remuneration reflects different professional qualification pathways and award structures across </w:t>
            </w:r>
            <w:r w:rsidR="00D0279A" w:rsidRPr="00901088">
              <w:rPr>
                <w:rFonts w:ascii="Verdana" w:hAnsi="Verdana"/>
              </w:rPr>
              <w:t xml:space="preserve">7 </w:t>
            </w:r>
            <w:r w:rsidR="00BF5E57" w:rsidRPr="00901088">
              <w:rPr>
                <w:rFonts w:ascii="Verdana" w:hAnsi="Verdana"/>
              </w:rPr>
              <w:t>enterprise bargaining agreements.</w:t>
            </w:r>
          </w:p>
          <w:p w14:paraId="53346A73" w14:textId="0DB23DAB" w:rsidR="005A67A9" w:rsidRPr="00F60477" w:rsidRDefault="005A67A9" w:rsidP="00067795">
            <w:pPr>
              <w:contextualSpacing/>
              <w:rPr>
                <w:rFonts w:ascii="Verdana" w:hAnsi="Verdana"/>
              </w:rPr>
            </w:pPr>
            <w:r w:rsidRPr="00F60477">
              <w:rPr>
                <w:rFonts w:ascii="Verdana" w:hAnsi="Verdana"/>
                <w:b/>
                <w:bCs/>
              </w:rPr>
              <w:t xml:space="preserve">(e) </w:t>
            </w:r>
            <w:r w:rsidR="00E35585" w:rsidRPr="00E4681A">
              <w:rPr>
                <w:rFonts w:ascii="Verdana" w:hAnsi="Verdana"/>
              </w:rPr>
              <w:t>Operational Priorities:</w:t>
            </w:r>
            <w:r w:rsidR="00E35585">
              <w:rPr>
                <w:rFonts w:ascii="Verdana" w:hAnsi="Verdana"/>
                <w:b/>
                <w:bCs/>
              </w:rPr>
              <w:t xml:space="preserve"> </w:t>
            </w:r>
            <w:r w:rsidRPr="00F60477">
              <w:rPr>
                <w:rFonts w:ascii="Verdana" w:hAnsi="Verdana"/>
              </w:rPr>
              <w:t>Medical specialist and nursing remuneration are externally determined through competitive sessional rates and sector-wide enterprise bargaining respectively. Meaningful reduction in the organisational gap requires transforming occupational segregation through medical training and nursing education demographics, both beyond</w:t>
            </w:r>
            <w:r w:rsidR="00E82DA9">
              <w:rPr>
                <w:rFonts w:ascii="Verdana" w:hAnsi="Verdana"/>
              </w:rPr>
              <w:t xml:space="preserve"> the</w:t>
            </w:r>
            <w:r w:rsidRPr="00F60477">
              <w:rPr>
                <w:rFonts w:ascii="Verdana" w:hAnsi="Verdana"/>
              </w:rPr>
              <w:t xml:space="preserve"> Eye and Ear's control. Non-Clinical (9–1</w:t>
            </w:r>
            <w:r w:rsidR="00BF5E57" w:rsidRPr="00F60477">
              <w:rPr>
                <w:rFonts w:ascii="Verdana" w:hAnsi="Verdana"/>
              </w:rPr>
              <w:t>4</w:t>
            </w:r>
            <w:r w:rsidRPr="00F60477">
              <w:rPr>
                <w:rFonts w:ascii="Verdana" w:hAnsi="Verdana"/>
              </w:rPr>
              <w:t xml:space="preserve">% gap) is the one area </w:t>
            </w:r>
            <w:r w:rsidRPr="00F60477">
              <w:rPr>
                <w:rFonts w:ascii="Verdana" w:hAnsi="Verdana"/>
              </w:rPr>
              <w:lastRenderedPageBreak/>
              <w:t>where</w:t>
            </w:r>
            <w:r w:rsidR="00E82DA9">
              <w:rPr>
                <w:rFonts w:ascii="Verdana" w:hAnsi="Verdana"/>
              </w:rPr>
              <w:t xml:space="preserve"> the</w:t>
            </w:r>
            <w:r w:rsidRPr="00F60477">
              <w:rPr>
                <w:rFonts w:ascii="Verdana" w:hAnsi="Verdana"/>
              </w:rPr>
              <w:t xml:space="preserve"> Eye and Ear can investigate whether role distribution is creating gendered pay outcomes.</w:t>
            </w:r>
          </w:p>
          <w:p w14:paraId="1CE4A33C" w14:textId="03A3969E" w:rsidR="005A67A9" w:rsidRPr="00F60477" w:rsidRDefault="005A67A9" w:rsidP="00067795">
            <w:pPr>
              <w:contextualSpacing/>
              <w:rPr>
                <w:rFonts w:ascii="Verdana" w:hAnsi="Verdana"/>
              </w:rPr>
            </w:pPr>
            <w:r w:rsidRPr="00F60477">
              <w:rPr>
                <w:rFonts w:ascii="Verdana" w:hAnsi="Verdana"/>
                <w:b/>
                <w:bCs/>
              </w:rPr>
              <w:t xml:space="preserve">(g) </w:t>
            </w:r>
            <w:r w:rsidR="00E35585" w:rsidRPr="00E4681A">
              <w:rPr>
                <w:rFonts w:ascii="Verdana" w:hAnsi="Verdana"/>
              </w:rPr>
              <w:t>Genuine Attempts:</w:t>
            </w:r>
            <w:r w:rsidR="007A57AB">
              <w:rPr>
                <w:rFonts w:ascii="Verdana" w:hAnsi="Verdana"/>
              </w:rPr>
              <w:t xml:space="preserve"> The</w:t>
            </w:r>
            <w:r w:rsidR="00E35585">
              <w:rPr>
                <w:rFonts w:ascii="Verdana" w:hAnsi="Verdana"/>
                <w:b/>
                <w:bCs/>
              </w:rPr>
              <w:t xml:space="preserve"> </w:t>
            </w:r>
            <w:r w:rsidRPr="00F60477">
              <w:rPr>
                <w:rFonts w:ascii="Verdana" w:hAnsi="Verdana"/>
              </w:rPr>
              <w:t xml:space="preserve">Eye and Ear achieved reductions across all four pay gap measures, with the largest being median total remuneration (48% to 41%). The organisation developed analytical frameworks disaggregating occupational segregation from equal pay issues and identified </w:t>
            </w:r>
            <w:proofErr w:type="gramStart"/>
            <w:r w:rsidRPr="00F60477">
              <w:rPr>
                <w:rFonts w:ascii="Verdana" w:hAnsi="Verdana"/>
              </w:rPr>
              <w:t>Non-Clinical</w:t>
            </w:r>
            <w:proofErr w:type="gramEnd"/>
            <w:r w:rsidRPr="00F60477">
              <w:rPr>
                <w:rFonts w:ascii="Verdana" w:hAnsi="Verdana"/>
              </w:rPr>
              <w:t xml:space="preserve"> as the priority for role-level investigation.</w:t>
            </w:r>
          </w:p>
        </w:tc>
        <w:tc>
          <w:tcPr>
            <w:tcW w:w="1592"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CCB2D22" w14:textId="0863DD23" w:rsidR="0815A651" w:rsidRDefault="0815A651" w:rsidP="2B71850E">
            <w:pPr>
              <w:contextualSpacing/>
            </w:pPr>
            <w:r w:rsidRPr="2B71850E">
              <w:rPr>
                <w:rFonts w:ascii="Verdana" w:hAnsi="Verdana"/>
              </w:rPr>
              <w:lastRenderedPageBreak/>
              <w:t xml:space="preserve">Action 3.1a (pay inequity grievance process): Moved to </w:t>
            </w:r>
            <w:r w:rsidRPr="0071009C">
              <w:rPr>
                <w:rFonts w:ascii="Verdana" w:hAnsi="Verdana"/>
              </w:rPr>
              <w:t>2024-25.</w:t>
            </w:r>
            <w:r w:rsidRPr="2B71850E">
              <w:rPr>
                <w:rFonts w:ascii="Verdana" w:hAnsi="Verdana"/>
              </w:rPr>
              <w:t xml:space="preserve"> In progress, informed by new intersectional analysis.</w:t>
            </w:r>
          </w:p>
          <w:p w14:paraId="321A1DA9" w14:textId="5D19FFB0" w:rsidR="0815A651" w:rsidRDefault="0815A651" w:rsidP="2B71850E">
            <w:pPr>
              <w:contextualSpacing/>
            </w:pPr>
            <w:r w:rsidRPr="2B71850E">
              <w:rPr>
                <w:rFonts w:ascii="Verdana" w:hAnsi="Verdana"/>
              </w:rPr>
              <w:t>Action 3.1a (non-clinical remuneration framework): Discontinued</w:t>
            </w:r>
            <w:r w:rsidR="00693AE1">
              <w:rPr>
                <w:rFonts w:ascii="Verdana" w:hAnsi="Verdana"/>
              </w:rPr>
              <w:t xml:space="preserve">. </w:t>
            </w:r>
            <w:r w:rsidR="0051316B">
              <w:rPr>
                <w:rFonts w:ascii="Verdana" w:hAnsi="Verdana"/>
              </w:rPr>
              <w:t>A more meaningful priority is correct classification</w:t>
            </w:r>
            <w:r w:rsidR="00C45BE8">
              <w:rPr>
                <w:rFonts w:ascii="Verdana" w:hAnsi="Verdana"/>
              </w:rPr>
              <w:t>,</w:t>
            </w:r>
            <w:r w:rsidR="0051316B">
              <w:rPr>
                <w:rFonts w:ascii="Verdana" w:hAnsi="Verdana"/>
              </w:rPr>
              <w:t xml:space="preserve"> </w:t>
            </w:r>
            <w:r w:rsidR="00C45BE8">
              <w:rPr>
                <w:rFonts w:ascii="Verdana" w:hAnsi="Verdana"/>
              </w:rPr>
              <w:t>which will continue.</w:t>
            </w:r>
            <w:r w:rsidRPr="2B71850E">
              <w:rPr>
                <w:rFonts w:ascii="Verdana" w:hAnsi="Verdana"/>
              </w:rPr>
              <w:t xml:space="preserve"> </w:t>
            </w:r>
          </w:p>
          <w:p w14:paraId="2B93581C" w14:textId="5519E53E" w:rsidR="005D4D01" w:rsidRDefault="318DD9DC" w:rsidP="3ECC7EFB">
            <w:pPr>
              <w:contextualSpacing/>
            </w:pPr>
            <w:r w:rsidRPr="00901088">
              <w:rPr>
                <w:rFonts w:ascii="Verdana" w:hAnsi="Verdana"/>
              </w:rPr>
              <w:t>Action 3.1b (yearly pay audit): Completed</w:t>
            </w:r>
            <w:r w:rsidR="00901088">
              <w:rPr>
                <w:rFonts w:ascii="Verdana" w:hAnsi="Verdana"/>
              </w:rPr>
              <w:t>.</w:t>
            </w:r>
          </w:p>
          <w:p w14:paraId="34374C16" w14:textId="232652A0" w:rsidR="0815A651" w:rsidRDefault="0815A651" w:rsidP="2B71850E">
            <w:pPr>
              <w:contextualSpacing/>
            </w:pPr>
            <w:r w:rsidRPr="2B71850E">
              <w:rPr>
                <w:rFonts w:ascii="Verdana" w:hAnsi="Verdana"/>
              </w:rPr>
              <w:t>Strategy 3.2 Action (acquire ability to analyse pay equity with an intersectional lens): Completed.</w:t>
            </w:r>
          </w:p>
          <w:p w14:paraId="20F63DDC" w14:textId="518E8A4D" w:rsidR="0815A651" w:rsidRDefault="0815A651" w:rsidP="2B71850E">
            <w:pPr>
              <w:contextualSpacing/>
            </w:pPr>
            <w:r w:rsidRPr="2B71850E">
              <w:rPr>
                <w:rFonts w:ascii="Verdana" w:hAnsi="Verdana"/>
              </w:rPr>
              <w:t>Strategy 3.2 Action (review intersectional data for pay inequity): Completed.</w:t>
            </w:r>
          </w:p>
          <w:p w14:paraId="1B0024B1" w14:textId="01BF0AB0" w:rsidR="2B71850E" w:rsidRDefault="2B71850E" w:rsidP="2B71850E">
            <w:pPr>
              <w:contextualSpacing/>
              <w:rPr>
                <w:rFonts w:ascii="Verdana" w:hAnsi="Verdana"/>
              </w:rPr>
            </w:pPr>
          </w:p>
          <w:p w14:paraId="529AC7D7" w14:textId="34F24E5A" w:rsidR="2B71850E" w:rsidRDefault="2B71850E" w:rsidP="2B71850E">
            <w:pPr>
              <w:contextualSpacing/>
              <w:rPr>
                <w:rFonts w:ascii="Verdana" w:hAnsi="Verdana"/>
              </w:rPr>
            </w:pPr>
          </w:p>
          <w:p w14:paraId="10F45529" w14:textId="1F5BAB7A" w:rsidR="005D4D01" w:rsidRPr="005D4D01" w:rsidRDefault="005D4D01" w:rsidP="005D4D01">
            <w:pPr>
              <w:contextualSpacing/>
              <w:rPr>
                <w:rFonts w:ascii="Verdana" w:hAnsi="Verdana"/>
              </w:rPr>
            </w:pPr>
          </w:p>
          <w:p w14:paraId="46170EE2" w14:textId="59833AB3" w:rsidR="005A67A9" w:rsidRPr="00F60477" w:rsidRDefault="005A67A9" w:rsidP="00067795">
            <w:pPr>
              <w:contextualSpacing/>
              <w:rPr>
                <w:rFonts w:ascii="Verdana" w:hAnsi="Verdana"/>
              </w:rPr>
            </w:pPr>
          </w:p>
        </w:tc>
      </w:tr>
      <w:tr w:rsidR="005A67A9" w:rsidRPr="00F60477" w14:paraId="7CFAC2D0" w14:textId="77777777" w:rsidTr="3ECC7EFB">
        <w:tc>
          <w:tcPr>
            <w:tcW w:w="555" w:type="pct"/>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80" w:type="dxa"/>
              <w:left w:w="120" w:type="dxa"/>
              <w:bottom w:w="80" w:type="dxa"/>
              <w:right w:w="120" w:type="dxa"/>
            </w:tcMar>
            <w:vAlign w:val="center"/>
          </w:tcPr>
          <w:p w14:paraId="6BFC8E9D" w14:textId="77777777" w:rsidR="005A67A9" w:rsidRPr="00F60477" w:rsidRDefault="005A67A9" w:rsidP="00A563B9">
            <w:pPr>
              <w:contextualSpacing/>
              <w:rPr>
                <w:rFonts w:ascii="Verdana" w:hAnsi="Verdana"/>
              </w:rPr>
            </w:pPr>
            <w:r w:rsidRPr="00F60477">
              <w:rPr>
                <w:rFonts w:ascii="Verdana" w:hAnsi="Verdana"/>
                <w:b/>
                <w:bCs/>
              </w:rPr>
              <w:lastRenderedPageBreak/>
              <w:t>4</w:t>
            </w:r>
          </w:p>
        </w:tc>
        <w:tc>
          <w:tcPr>
            <w:tcW w:w="649"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2F81272" w14:textId="77777777" w:rsidR="005A67A9" w:rsidRPr="00F60477" w:rsidRDefault="005A67A9" w:rsidP="00067795">
            <w:pPr>
              <w:contextualSpacing/>
              <w:rPr>
                <w:rFonts w:ascii="Verdana" w:hAnsi="Verdana"/>
              </w:rPr>
            </w:pPr>
            <w:r w:rsidRPr="00F60477">
              <w:rPr>
                <w:rFonts w:ascii="Verdana" w:hAnsi="Verdana"/>
              </w:rPr>
              <w:t>b, d, g</w:t>
            </w:r>
          </w:p>
        </w:tc>
        <w:tc>
          <w:tcPr>
            <w:tcW w:w="2204"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69AD580" w14:textId="77777777" w:rsidR="00697F14" w:rsidRDefault="007C37E8" w:rsidP="007C37E8">
            <w:pPr>
              <w:contextualSpacing/>
              <w:rPr>
                <w:rFonts w:ascii="Verdana" w:hAnsi="Verdana"/>
              </w:rPr>
            </w:pPr>
            <w:r w:rsidRPr="00AD40B0">
              <w:rPr>
                <w:rFonts w:ascii="Verdana" w:hAnsi="Verdana"/>
                <w:b/>
                <w:bCs/>
              </w:rPr>
              <w:t>(b)</w:t>
            </w:r>
            <w:r w:rsidRPr="00E4681A">
              <w:rPr>
                <w:rFonts w:ascii="Verdana" w:hAnsi="Verdana"/>
              </w:rPr>
              <w:t xml:space="preserve"> Nature and Circumstances:</w:t>
            </w:r>
            <w:r w:rsidRPr="00AD40B0">
              <w:rPr>
                <w:rFonts w:ascii="Verdana" w:hAnsi="Verdana"/>
                <w:b/>
                <w:bCs/>
              </w:rPr>
              <w:t xml:space="preserve"> </w:t>
            </w:r>
            <w:r w:rsidRPr="00E4681A">
              <w:rPr>
                <w:rFonts w:ascii="Verdana" w:hAnsi="Verdana"/>
              </w:rPr>
              <w:t>Th</w:t>
            </w:r>
            <w:r w:rsidRPr="00B9272B">
              <w:rPr>
                <w:rFonts w:ascii="Verdana" w:hAnsi="Verdana"/>
              </w:rPr>
              <w:t>e</w:t>
            </w:r>
            <w:r w:rsidRPr="00E4681A">
              <w:rPr>
                <w:rFonts w:ascii="Verdana" w:hAnsi="Verdana"/>
              </w:rPr>
              <w:t xml:space="preserve"> shift in harassment sources to 48% originating from patients, clients and stakeholders complicates prevention and response, as traditional workplace harm frameworks assume perpetrators are subject to organisational authority. Healthcare sector research confirms this pattern nationally. </w:t>
            </w:r>
          </w:p>
          <w:p w14:paraId="48ACCBA5" w14:textId="136933E8" w:rsidR="00AD40B0" w:rsidRDefault="007C37E8" w:rsidP="007C37E8">
            <w:pPr>
              <w:contextualSpacing/>
              <w:rPr>
                <w:rFonts w:ascii="Verdana" w:hAnsi="Verdana"/>
              </w:rPr>
            </w:pPr>
            <w:r w:rsidRPr="00E4681A">
              <w:rPr>
                <w:rFonts w:ascii="Verdana" w:hAnsi="Verdana"/>
              </w:rPr>
              <w:t xml:space="preserve">The clinical environment, where 79% of employees are ‘deskless’ and don’t readily access technology for corporate support functions, creates structural barriers to reporting. </w:t>
            </w:r>
          </w:p>
          <w:p w14:paraId="775B7A53" w14:textId="77777777" w:rsidR="007476C6" w:rsidRPr="00E4681A" w:rsidRDefault="007476C6" w:rsidP="007C37E8">
            <w:pPr>
              <w:contextualSpacing/>
              <w:rPr>
                <w:rFonts w:ascii="Verdana" w:hAnsi="Verdana"/>
              </w:rPr>
            </w:pPr>
          </w:p>
          <w:p w14:paraId="489987B7" w14:textId="7915EEFF" w:rsidR="007C37E8" w:rsidRDefault="007C37E8" w:rsidP="007C37E8">
            <w:pPr>
              <w:contextualSpacing/>
              <w:rPr>
                <w:rFonts w:ascii="Verdana" w:hAnsi="Verdana"/>
              </w:rPr>
            </w:pPr>
            <w:r w:rsidRPr="00AD40B0">
              <w:rPr>
                <w:rFonts w:ascii="Verdana" w:hAnsi="Verdana"/>
                <w:b/>
                <w:bCs/>
              </w:rPr>
              <w:t>(d)</w:t>
            </w:r>
            <w:r w:rsidRPr="00E4681A">
              <w:rPr>
                <w:rFonts w:ascii="Verdana" w:hAnsi="Verdana"/>
              </w:rPr>
              <w:t xml:space="preserve"> Resource limitations historically prevented intersectional analysis. The 2025 audit conducted full demographic disaggregation for the first time, revealing that the groups experiencing </w:t>
            </w:r>
            <w:r w:rsidR="00C676F5" w:rsidRPr="00C676F5">
              <w:rPr>
                <w:rFonts w:ascii="Verdana" w:hAnsi="Verdana"/>
              </w:rPr>
              <w:t>elevated harassment rates and poorer workplace outcomes</w:t>
            </w:r>
            <w:r w:rsidRPr="00E4681A">
              <w:rPr>
                <w:rFonts w:ascii="Verdana" w:hAnsi="Verdana"/>
              </w:rPr>
              <w:t xml:space="preserve"> are also those </w:t>
            </w:r>
            <w:r w:rsidR="00A112AD">
              <w:rPr>
                <w:rFonts w:ascii="Verdana" w:hAnsi="Verdana"/>
              </w:rPr>
              <w:t>from diversity groups</w:t>
            </w:r>
            <w:r w:rsidR="001D36BF">
              <w:rPr>
                <w:rFonts w:ascii="Verdana" w:hAnsi="Verdana"/>
              </w:rPr>
              <w:t xml:space="preserve"> or </w:t>
            </w:r>
            <w:r w:rsidRPr="00E4681A">
              <w:rPr>
                <w:rFonts w:ascii="Verdana" w:hAnsi="Verdana"/>
              </w:rPr>
              <w:t>facing compounding employment insecurity, cultural and language barriers, and lowest confidence in organisational responses. This insight enables targeted, culturally safe interventions rather than one-size-fits-all approaches.</w:t>
            </w:r>
          </w:p>
          <w:p w14:paraId="446386E9" w14:textId="77777777" w:rsidR="00AD40B0" w:rsidRPr="00E4681A" w:rsidRDefault="00AD40B0" w:rsidP="007C37E8">
            <w:pPr>
              <w:contextualSpacing/>
              <w:rPr>
                <w:rFonts w:ascii="Verdana" w:hAnsi="Verdana"/>
              </w:rPr>
            </w:pPr>
          </w:p>
          <w:p w14:paraId="547DC27C" w14:textId="4B54075C" w:rsidR="005A67A9" w:rsidRPr="007C37E8" w:rsidRDefault="007C37E8" w:rsidP="00067795">
            <w:pPr>
              <w:contextualSpacing/>
              <w:rPr>
                <w:rFonts w:ascii="Verdana" w:hAnsi="Verdana"/>
              </w:rPr>
            </w:pPr>
            <w:r w:rsidRPr="00AD40B0">
              <w:rPr>
                <w:rFonts w:ascii="Verdana" w:hAnsi="Verdana"/>
                <w:b/>
                <w:bCs/>
              </w:rPr>
              <w:t>(g)</w:t>
            </w:r>
            <w:r w:rsidRPr="00E4681A">
              <w:rPr>
                <w:rFonts w:ascii="Verdana" w:hAnsi="Verdana"/>
              </w:rPr>
              <w:t xml:space="preserve"> Genuine Attempts: The Eye and Ear </w:t>
            </w:r>
            <w:proofErr w:type="gramStart"/>
            <w:r w:rsidRPr="00E4681A">
              <w:rPr>
                <w:rFonts w:ascii="Verdana" w:hAnsi="Verdana"/>
              </w:rPr>
              <w:t>has</w:t>
            </w:r>
            <w:proofErr w:type="gramEnd"/>
            <w:r w:rsidRPr="00E4681A">
              <w:rPr>
                <w:rFonts w:ascii="Verdana" w:hAnsi="Verdana"/>
              </w:rPr>
              <w:t xml:space="preserve"> made genuine attempts including the initiatives outlined above. However, these have not translated into reduced </w:t>
            </w:r>
            <w:r w:rsidR="00070C45">
              <w:rPr>
                <w:rFonts w:ascii="Verdana" w:hAnsi="Verdana"/>
              </w:rPr>
              <w:t xml:space="preserve">reported </w:t>
            </w:r>
            <w:r w:rsidRPr="00E4681A">
              <w:rPr>
                <w:rFonts w:ascii="Verdana" w:hAnsi="Verdana"/>
              </w:rPr>
              <w:t>prevalence</w:t>
            </w:r>
            <w:r w:rsidR="00070C45">
              <w:rPr>
                <w:rFonts w:ascii="Verdana" w:hAnsi="Verdana"/>
              </w:rPr>
              <w:t xml:space="preserve"> (PMS)</w:t>
            </w:r>
            <w:r w:rsidRPr="00E4681A">
              <w:rPr>
                <w:rFonts w:ascii="Verdana" w:hAnsi="Verdana"/>
              </w:rPr>
              <w:t xml:space="preserve"> or increased formal reporting. The finding that </w:t>
            </w:r>
            <w:r w:rsidRPr="00E4681A" w:rsidDel="000B3052">
              <w:rPr>
                <w:rFonts w:ascii="Verdana" w:hAnsi="Verdana"/>
              </w:rPr>
              <w:t xml:space="preserve">zero </w:t>
            </w:r>
            <w:r w:rsidRPr="00E4681A">
              <w:rPr>
                <w:rFonts w:ascii="Verdana" w:hAnsi="Verdana"/>
              </w:rPr>
              <w:t>formal complaints</w:t>
            </w:r>
            <w:r w:rsidRPr="00E4681A" w:rsidDel="000B3052">
              <w:rPr>
                <w:rFonts w:ascii="Verdana" w:hAnsi="Verdana"/>
              </w:rPr>
              <w:t xml:space="preserve"> reached HR</w:t>
            </w:r>
            <w:r w:rsidRPr="00E4681A">
              <w:rPr>
                <w:rFonts w:ascii="Verdana" w:hAnsi="Verdana"/>
              </w:rPr>
              <w:t xml:space="preserve"> despite employees believing they had reported reveals </w:t>
            </w:r>
            <w:r w:rsidR="00C57069">
              <w:rPr>
                <w:rFonts w:ascii="Verdana" w:hAnsi="Verdana"/>
              </w:rPr>
              <w:t xml:space="preserve">a </w:t>
            </w:r>
            <w:r w:rsidR="00E07031">
              <w:rPr>
                <w:rFonts w:ascii="Verdana" w:hAnsi="Verdana"/>
              </w:rPr>
              <w:t xml:space="preserve">deficit </w:t>
            </w:r>
            <w:r w:rsidRPr="00E4681A">
              <w:rPr>
                <w:rFonts w:ascii="Verdana" w:hAnsi="Verdana"/>
              </w:rPr>
              <w:t>in reporting infrastructure. The Eye and Ear's investment in intersectional analysis now provides the evidence base for targeted interventions</w:t>
            </w:r>
            <w:r w:rsidR="007C4655">
              <w:rPr>
                <w:rFonts w:ascii="Verdana" w:hAnsi="Verdana"/>
              </w:rPr>
              <w:t xml:space="preserve"> in the new G</w:t>
            </w:r>
            <w:r w:rsidR="00DF44F0">
              <w:rPr>
                <w:rFonts w:ascii="Verdana" w:hAnsi="Verdana"/>
              </w:rPr>
              <w:t>EAP</w:t>
            </w:r>
            <w:r w:rsidRPr="00E4681A">
              <w:rPr>
                <w:rFonts w:ascii="Verdana" w:hAnsi="Verdana"/>
              </w:rPr>
              <w:t>.</w:t>
            </w:r>
            <w:r w:rsidR="00464199">
              <w:rPr>
                <w:rFonts w:ascii="Verdana" w:hAnsi="Verdana"/>
              </w:rPr>
              <w:t xml:space="preserve"> </w:t>
            </w:r>
          </w:p>
        </w:tc>
        <w:tc>
          <w:tcPr>
            <w:tcW w:w="1592"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AE94436" w14:textId="13FB0DD1" w:rsidR="005A67A9" w:rsidRPr="00E221DD" w:rsidRDefault="27EBF8B1" w:rsidP="2B71850E">
            <w:pPr>
              <w:contextualSpacing/>
              <w:rPr>
                <w:rFonts w:ascii="Verdana" w:hAnsi="Verdana"/>
              </w:rPr>
            </w:pPr>
            <w:r w:rsidRPr="2B71850E">
              <w:rPr>
                <w:rFonts w:ascii="Verdana" w:hAnsi="Verdana"/>
              </w:rPr>
              <w:t>Action 4.1a (socialise sexual harassment reporting process): Moved to 2026-2030 GEAP.</w:t>
            </w:r>
          </w:p>
          <w:p w14:paraId="7B6B9970" w14:textId="50CF238C" w:rsidR="005A67A9" w:rsidRPr="00E221DD" w:rsidRDefault="27EBF8B1" w:rsidP="2B71850E">
            <w:pPr>
              <w:contextualSpacing/>
            </w:pPr>
            <w:r w:rsidRPr="2B71850E">
              <w:rPr>
                <w:rFonts w:ascii="Verdana" w:hAnsi="Verdana"/>
              </w:rPr>
              <w:t>Action 4.1b (perpetrator-specific flow charts): Moved to 2026-2030 GEAP.</w:t>
            </w:r>
          </w:p>
          <w:p w14:paraId="6366E1C7" w14:textId="5EDFDC9F" w:rsidR="005A67A9" w:rsidRPr="00E221DD" w:rsidRDefault="27EBF8B1" w:rsidP="2B71850E">
            <w:pPr>
              <w:contextualSpacing/>
            </w:pPr>
            <w:r w:rsidRPr="2B71850E">
              <w:rPr>
                <w:rFonts w:ascii="Verdana" w:hAnsi="Verdana"/>
              </w:rPr>
              <w:t xml:space="preserve">Action 4.2a (track feedback after sexual harassment complaints or reporting): Focus shifted. </w:t>
            </w:r>
            <w:proofErr w:type="gramStart"/>
            <w:r w:rsidRPr="2B71850E">
              <w:rPr>
                <w:rFonts w:ascii="Verdana" w:hAnsi="Verdana"/>
              </w:rPr>
              <w:t>First priority</w:t>
            </w:r>
            <w:proofErr w:type="gramEnd"/>
            <w:r w:rsidRPr="2B71850E">
              <w:rPr>
                <w:rFonts w:ascii="Verdana" w:hAnsi="Verdana"/>
              </w:rPr>
              <w:t xml:space="preserve"> is improving the reporting process so </w:t>
            </w:r>
            <w:r w:rsidR="006F4C28">
              <w:rPr>
                <w:rFonts w:ascii="Verdana" w:hAnsi="Verdana"/>
              </w:rPr>
              <w:t>staff</w:t>
            </w:r>
            <w:r w:rsidR="006F4C28" w:rsidRPr="2B71850E">
              <w:rPr>
                <w:rFonts w:ascii="Verdana" w:hAnsi="Verdana"/>
              </w:rPr>
              <w:t xml:space="preserve"> </w:t>
            </w:r>
            <w:r w:rsidRPr="2B71850E">
              <w:rPr>
                <w:rFonts w:ascii="Verdana" w:hAnsi="Verdana"/>
              </w:rPr>
              <w:t>can and do report.</w:t>
            </w:r>
          </w:p>
          <w:p w14:paraId="6AAE45CB" w14:textId="4C24379A" w:rsidR="005A67A9" w:rsidRPr="00E221DD" w:rsidRDefault="27EBF8B1" w:rsidP="2B71850E">
            <w:pPr>
              <w:contextualSpacing/>
            </w:pPr>
            <w:r w:rsidRPr="2B71850E">
              <w:rPr>
                <w:rFonts w:ascii="Verdana" w:hAnsi="Verdana"/>
              </w:rPr>
              <w:t>Action 4.2b (annual investigation feedback reporting): Moved to 2026-2030 GEAP.</w:t>
            </w:r>
          </w:p>
          <w:p w14:paraId="4036C41A" w14:textId="0655A371" w:rsidR="005A67A9" w:rsidRPr="00E221DD" w:rsidRDefault="27EBF8B1" w:rsidP="2B71850E">
            <w:pPr>
              <w:contextualSpacing/>
            </w:pPr>
            <w:r w:rsidRPr="2B71850E">
              <w:rPr>
                <w:rFonts w:ascii="Verdana" w:hAnsi="Verdana"/>
              </w:rPr>
              <w:t>Action 4.3a (Peer Support Officer program, promotion, representation, reporting procedures): Completed. 16 Peer Support Officers trained and active (exceeding the target of 15), recruited from diverse clinical areas. Peer Support representation added to Health and Safety Committee. Precinct-wide collaboration established.</w:t>
            </w:r>
          </w:p>
          <w:p w14:paraId="6D0E215D" w14:textId="0FD67B61" w:rsidR="005A67A9" w:rsidRPr="00E221DD" w:rsidRDefault="318DD9DC" w:rsidP="2B71850E">
            <w:pPr>
              <w:contextualSpacing/>
            </w:pPr>
            <w:r w:rsidRPr="00E221DD">
              <w:rPr>
                <w:rFonts w:ascii="Verdana" w:hAnsi="Verdana"/>
              </w:rPr>
              <w:t>Full intersectional analysis of sexual harassment conducted for the first time, providing evidence base for targeted interventions</w:t>
            </w:r>
            <w:r w:rsidR="27EBF8B1" w:rsidRPr="2B71850E">
              <w:rPr>
                <w:rFonts w:ascii="Verdana" w:hAnsi="Verdana"/>
              </w:rPr>
              <w:t>.</w:t>
            </w:r>
          </w:p>
          <w:p w14:paraId="37060501" w14:textId="36309D1B" w:rsidR="005A67A9" w:rsidRPr="00E221DD" w:rsidRDefault="005A67A9" w:rsidP="3ECC7EFB">
            <w:pPr>
              <w:contextualSpacing/>
              <w:rPr>
                <w:rFonts w:ascii="Verdana" w:hAnsi="Verdana"/>
              </w:rPr>
            </w:pPr>
          </w:p>
        </w:tc>
      </w:tr>
      <w:tr w:rsidR="005A67A9" w:rsidRPr="00F60477" w14:paraId="4FE147E7" w14:textId="77777777" w:rsidTr="3ECC7EFB">
        <w:tc>
          <w:tcPr>
            <w:tcW w:w="555" w:type="pct"/>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80" w:type="dxa"/>
              <w:left w:w="120" w:type="dxa"/>
              <w:bottom w:w="80" w:type="dxa"/>
              <w:right w:w="120" w:type="dxa"/>
            </w:tcMar>
            <w:vAlign w:val="center"/>
          </w:tcPr>
          <w:p w14:paraId="3B10A265" w14:textId="77777777" w:rsidR="005A67A9" w:rsidRPr="00F60477" w:rsidRDefault="005A67A9" w:rsidP="00A563B9">
            <w:pPr>
              <w:contextualSpacing/>
              <w:rPr>
                <w:rFonts w:ascii="Verdana" w:hAnsi="Verdana"/>
              </w:rPr>
            </w:pPr>
            <w:r w:rsidRPr="00F60477">
              <w:rPr>
                <w:rFonts w:ascii="Verdana" w:hAnsi="Verdana"/>
                <w:b/>
                <w:bCs/>
              </w:rPr>
              <w:lastRenderedPageBreak/>
              <w:t>5</w:t>
            </w:r>
          </w:p>
        </w:tc>
        <w:tc>
          <w:tcPr>
            <w:tcW w:w="649"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832C7D9" w14:textId="77777777" w:rsidR="005A67A9" w:rsidRPr="00F60477" w:rsidRDefault="005A67A9" w:rsidP="00067795">
            <w:pPr>
              <w:contextualSpacing/>
              <w:rPr>
                <w:rFonts w:ascii="Verdana" w:hAnsi="Verdana"/>
              </w:rPr>
            </w:pPr>
            <w:r w:rsidRPr="00F60477">
              <w:rPr>
                <w:rFonts w:ascii="Verdana" w:hAnsi="Verdana"/>
              </w:rPr>
              <w:t>b, e, g</w:t>
            </w:r>
          </w:p>
        </w:tc>
        <w:tc>
          <w:tcPr>
            <w:tcW w:w="2204"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F298A6E" w14:textId="2BE0FC75" w:rsidR="005A67A9" w:rsidRDefault="005A67A9" w:rsidP="00067795">
            <w:pPr>
              <w:contextualSpacing/>
              <w:rPr>
                <w:rFonts w:ascii="Verdana" w:hAnsi="Verdana"/>
              </w:rPr>
            </w:pPr>
            <w:r w:rsidRPr="00F60477">
              <w:rPr>
                <w:rFonts w:ascii="Verdana" w:hAnsi="Verdana"/>
                <w:b/>
                <w:bCs/>
              </w:rPr>
              <w:t xml:space="preserve">(b) </w:t>
            </w:r>
            <w:r w:rsidR="0054745D">
              <w:rPr>
                <w:rFonts w:ascii="Verdana" w:hAnsi="Verdana"/>
              </w:rPr>
              <w:t xml:space="preserve">Nature and Circumstances: </w:t>
            </w:r>
            <w:r w:rsidRPr="00F60477">
              <w:rPr>
                <w:rFonts w:ascii="Verdana" w:hAnsi="Verdana"/>
              </w:rPr>
              <w:t xml:space="preserve">Recruitment reflects national pipeline demographics where medical specialist training requires 10–15 years and nursing education is heavily </w:t>
            </w:r>
            <w:r w:rsidR="00CC0A11" w:rsidRPr="00F60477">
              <w:rPr>
                <w:rFonts w:ascii="Verdana" w:hAnsi="Verdana"/>
              </w:rPr>
              <w:t>women</w:t>
            </w:r>
            <w:r w:rsidRPr="00F60477">
              <w:rPr>
                <w:rFonts w:ascii="Verdana" w:hAnsi="Verdana"/>
              </w:rPr>
              <w:t>-dominated. Formal promotion statistics (32 people, 3% of workforce) capture only a fraction of career advancement in clinical contexts where progression occurs through external credentialing rather than internal promotion.</w:t>
            </w:r>
          </w:p>
          <w:p w14:paraId="1C135562" w14:textId="77777777" w:rsidR="00511B43" w:rsidRPr="00F60477" w:rsidRDefault="00511B43" w:rsidP="00067795">
            <w:pPr>
              <w:contextualSpacing/>
              <w:rPr>
                <w:rFonts w:ascii="Verdana" w:hAnsi="Verdana"/>
              </w:rPr>
            </w:pPr>
          </w:p>
          <w:p w14:paraId="17B05316" w14:textId="4D2EED02" w:rsidR="005A67A9" w:rsidRDefault="005A67A9" w:rsidP="00067795">
            <w:pPr>
              <w:contextualSpacing/>
              <w:rPr>
                <w:rFonts w:ascii="Verdana" w:eastAsia="Verdana" w:hAnsi="Verdana" w:cs="Verdana"/>
              </w:rPr>
            </w:pPr>
            <w:r w:rsidRPr="00F60477">
              <w:rPr>
                <w:rFonts w:ascii="Verdana" w:hAnsi="Verdana"/>
                <w:b/>
                <w:bCs/>
              </w:rPr>
              <w:t xml:space="preserve">(e) </w:t>
            </w:r>
            <w:r w:rsidR="0054745D" w:rsidRPr="00E4681A">
              <w:rPr>
                <w:rFonts w:ascii="Verdana" w:hAnsi="Verdana"/>
              </w:rPr>
              <w:t>Operational Priorities:</w:t>
            </w:r>
            <w:r w:rsidR="0054745D">
              <w:rPr>
                <w:rFonts w:ascii="Verdana" w:hAnsi="Verdana"/>
                <w:b/>
                <w:bCs/>
              </w:rPr>
              <w:t xml:space="preserve"> </w:t>
            </w:r>
            <w:r w:rsidR="001154DB" w:rsidRPr="00321A82">
              <w:rPr>
                <w:rFonts w:ascii="Verdana" w:eastAsia="Verdana" w:hAnsi="Verdana" w:cs="Verdana"/>
              </w:rPr>
              <w:t xml:space="preserve">As a teaching hospital, the Eye and Ear recruits for both ongoing employment and program delivery, which shapes the composition and nature of available roles. Vacancy-driven promotion means compositional change is constrained by low turnover, and funding settings </w:t>
            </w:r>
            <w:r w:rsidR="00C3756D">
              <w:rPr>
                <w:rFonts w:ascii="Verdana" w:eastAsia="Verdana" w:hAnsi="Verdana" w:cs="Verdana"/>
              </w:rPr>
              <w:t xml:space="preserve">constrain </w:t>
            </w:r>
            <w:r w:rsidR="001154DB" w:rsidRPr="00321A82">
              <w:rPr>
                <w:rFonts w:ascii="Verdana" w:eastAsia="Verdana" w:hAnsi="Verdana" w:cs="Verdana"/>
              </w:rPr>
              <w:t xml:space="preserve">FTE expansion to create additional opportunities. Improving gender balance in </w:t>
            </w:r>
            <w:proofErr w:type="gramStart"/>
            <w:r w:rsidR="001154DB" w:rsidRPr="00321A82">
              <w:rPr>
                <w:rFonts w:ascii="Verdana" w:eastAsia="Verdana" w:hAnsi="Verdana" w:cs="Verdana"/>
              </w:rPr>
              <w:t>Medical</w:t>
            </w:r>
            <w:proofErr w:type="gramEnd"/>
            <w:r w:rsidR="001154DB" w:rsidRPr="00321A82">
              <w:rPr>
                <w:rFonts w:ascii="Verdana" w:eastAsia="Verdana" w:hAnsi="Verdana" w:cs="Verdana"/>
              </w:rPr>
              <w:t xml:space="preserve"> recruitment depends on national specialist training pipelines that operate on </w:t>
            </w:r>
            <w:proofErr w:type="gramStart"/>
            <w:r w:rsidR="001154DB" w:rsidRPr="00321A82">
              <w:rPr>
                <w:rFonts w:ascii="Verdana" w:eastAsia="Verdana" w:hAnsi="Verdana" w:cs="Verdana"/>
              </w:rPr>
              <w:t>10-15 year</w:t>
            </w:r>
            <w:proofErr w:type="gramEnd"/>
            <w:r w:rsidR="001154DB" w:rsidRPr="00321A82">
              <w:rPr>
                <w:rFonts w:ascii="Verdana" w:eastAsia="Verdana" w:hAnsi="Verdana" w:cs="Verdana"/>
              </w:rPr>
              <w:t xml:space="preserve"> timeframes and are beyond any single organisation's control</w:t>
            </w:r>
            <w:r w:rsidR="00511B43">
              <w:rPr>
                <w:rFonts w:ascii="Verdana" w:eastAsia="Verdana" w:hAnsi="Verdana" w:cs="Verdana"/>
              </w:rPr>
              <w:t>.</w:t>
            </w:r>
          </w:p>
          <w:p w14:paraId="2AD988EF" w14:textId="77777777" w:rsidR="00511B43" w:rsidRPr="00F60477" w:rsidRDefault="00511B43" w:rsidP="00067795">
            <w:pPr>
              <w:contextualSpacing/>
              <w:rPr>
                <w:rFonts w:ascii="Verdana" w:hAnsi="Verdana"/>
              </w:rPr>
            </w:pPr>
          </w:p>
          <w:p w14:paraId="62704483" w14:textId="6ABC913B" w:rsidR="005A67A9" w:rsidRPr="00F60477" w:rsidRDefault="005A67A9" w:rsidP="00067795">
            <w:pPr>
              <w:contextualSpacing/>
              <w:rPr>
                <w:rFonts w:ascii="Verdana" w:hAnsi="Verdana"/>
              </w:rPr>
            </w:pPr>
            <w:r w:rsidRPr="00F60477">
              <w:rPr>
                <w:rFonts w:ascii="Verdana" w:hAnsi="Verdana"/>
                <w:b/>
                <w:bCs/>
              </w:rPr>
              <w:t xml:space="preserve">(g) </w:t>
            </w:r>
            <w:r w:rsidR="0043509C" w:rsidRPr="00E4681A">
              <w:rPr>
                <w:rFonts w:ascii="Verdana" w:hAnsi="Verdana"/>
              </w:rPr>
              <w:t>Genuine Attempts:</w:t>
            </w:r>
            <w:r w:rsidR="0043509C">
              <w:rPr>
                <w:rFonts w:ascii="Verdana" w:hAnsi="Verdana"/>
                <w:b/>
                <w:bCs/>
              </w:rPr>
              <w:t xml:space="preserve"> </w:t>
            </w:r>
            <w:r w:rsidR="001F2972" w:rsidRPr="001F2972">
              <w:rPr>
                <w:rFonts w:ascii="Verdana" w:hAnsi="Verdana"/>
              </w:rPr>
              <w:t>The</w:t>
            </w:r>
            <w:r w:rsidR="001F2972">
              <w:rPr>
                <w:rFonts w:ascii="Verdana" w:hAnsi="Verdana"/>
                <w:b/>
                <w:bCs/>
              </w:rPr>
              <w:t xml:space="preserve"> </w:t>
            </w:r>
            <w:r w:rsidRPr="00F60477">
              <w:rPr>
                <w:rFonts w:ascii="Verdana" w:hAnsi="Verdana"/>
              </w:rPr>
              <w:t>Eye and Ear maintained recruitment practices preserving women's representation and provided higher duties opportunities exceeding workforce presence (80% women). Developing career development data is a priority for the 2026–2030 GEAP. Declining fairness perceptions, particularly among people with disability (31%</w:t>
            </w:r>
            <w:r w:rsidR="00EA534A">
              <w:rPr>
                <w:rFonts w:ascii="Verdana" w:hAnsi="Verdana"/>
              </w:rPr>
              <w:t xml:space="preserve"> promotion fairness</w:t>
            </w:r>
            <w:r w:rsidRPr="00F60477">
              <w:rPr>
                <w:rFonts w:ascii="Verdana" w:hAnsi="Verdana"/>
              </w:rPr>
              <w:t>), and employees earning below $80,000 (</w:t>
            </w:r>
            <w:r w:rsidR="002606DC" w:rsidRPr="00F60477">
              <w:rPr>
                <w:rFonts w:ascii="Verdana" w:hAnsi="Verdana"/>
              </w:rPr>
              <w:t>3</w:t>
            </w:r>
            <w:r w:rsidR="002606DC">
              <w:rPr>
                <w:rFonts w:ascii="Verdana" w:hAnsi="Verdana"/>
              </w:rPr>
              <w:t>1</w:t>
            </w:r>
            <w:r w:rsidRPr="00F60477">
              <w:rPr>
                <w:rFonts w:ascii="Verdana" w:hAnsi="Verdana"/>
              </w:rPr>
              <w:t xml:space="preserve">%), indicate the need for improved transparency and communication strategies </w:t>
            </w:r>
            <w:r w:rsidR="005B7F20">
              <w:rPr>
                <w:rFonts w:ascii="Verdana" w:hAnsi="Verdana"/>
              </w:rPr>
              <w:t xml:space="preserve">which also </w:t>
            </w:r>
            <w:r w:rsidRPr="00F60477">
              <w:rPr>
                <w:rFonts w:ascii="Verdana" w:hAnsi="Verdana"/>
              </w:rPr>
              <w:t>reach</w:t>
            </w:r>
            <w:r w:rsidR="005B7F20">
              <w:rPr>
                <w:rFonts w:ascii="Verdana" w:hAnsi="Verdana"/>
              </w:rPr>
              <w:t xml:space="preserve"> </w:t>
            </w:r>
            <w:r w:rsidRPr="00F60477">
              <w:rPr>
                <w:rFonts w:ascii="Verdana" w:hAnsi="Verdana"/>
              </w:rPr>
              <w:t>part-time</w:t>
            </w:r>
            <w:r w:rsidR="0015307A">
              <w:rPr>
                <w:rFonts w:ascii="Verdana" w:hAnsi="Verdana"/>
              </w:rPr>
              <w:t xml:space="preserve"> and</w:t>
            </w:r>
            <w:r w:rsidR="007476C6">
              <w:rPr>
                <w:rFonts w:ascii="Verdana" w:hAnsi="Verdana"/>
              </w:rPr>
              <w:t xml:space="preserve"> </w:t>
            </w:r>
            <w:r w:rsidRPr="00F60477">
              <w:rPr>
                <w:rFonts w:ascii="Verdana" w:hAnsi="Verdana"/>
              </w:rPr>
              <w:t>casual</w:t>
            </w:r>
            <w:r w:rsidR="0015307A">
              <w:rPr>
                <w:rFonts w:ascii="Verdana" w:hAnsi="Verdana"/>
              </w:rPr>
              <w:t xml:space="preserve"> </w:t>
            </w:r>
            <w:r w:rsidRPr="00F60477">
              <w:rPr>
                <w:rFonts w:ascii="Verdana" w:hAnsi="Verdana"/>
              </w:rPr>
              <w:t>employees.</w:t>
            </w:r>
          </w:p>
        </w:tc>
        <w:tc>
          <w:tcPr>
            <w:tcW w:w="1592"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6C393DA" w14:textId="34B57979" w:rsidR="54D9EB6B" w:rsidRDefault="54D9EB6B" w:rsidP="2B71850E">
            <w:pPr>
              <w:contextualSpacing/>
              <w:rPr>
                <w:rFonts w:ascii="Verdana" w:hAnsi="Verdana"/>
              </w:rPr>
            </w:pPr>
            <w:r w:rsidRPr="2B71850E">
              <w:rPr>
                <w:rFonts w:ascii="Verdana" w:hAnsi="Verdana"/>
              </w:rPr>
              <w:t xml:space="preserve">Action 5A (HRIS review): Completed via </w:t>
            </w:r>
            <w:r w:rsidR="00253E94">
              <w:rPr>
                <w:rFonts w:ascii="Verdana" w:hAnsi="Verdana"/>
              </w:rPr>
              <w:t>HRIS (</w:t>
            </w:r>
            <w:proofErr w:type="spellStart"/>
            <w:r w:rsidRPr="2B71850E">
              <w:rPr>
                <w:rFonts w:ascii="Verdana" w:hAnsi="Verdana"/>
              </w:rPr>
              <w:t>PeopleHub</w:t>
            </w:r>
            <w:proofErr w:type="spellEnd"/>
            <w:r w:rsidR="00253E94">
              <w:rPr>
                <w:rFonts w:ascii="Verdana" w:hAnsi="Verdana"/>
              </w:rPr>
              <w:t>)</w:t>
            </w:r>
            <w:r w:rsidRPr="2B71850E">
              <w:rPr>
                <w:rFonts w:ascii="Verdana" w:hAnsi="Verdana"/>
              </w:rPr>
              <w:t xml:space="preserve"> rollout.</w:t>
            </w:r>
          </w:p>
          <w:p w14:paraId="08C2651F" w14:textId="5FE4A73B" w:rsidR="54D9EB6B" w:rsidRDefault="54D9EB6B" w:rsidP="2B71850E">
            <w:pPr>
              <w:contextualSpacing/>
            </w:pPr>
            <w:r w:rsidRPr="2B71850E">
              <w:rPr>
                <w:rFonts w:ascii="Verdana" w:hAnsi="Verdana"/>
              </w:rPr>
              <w:t xml:space="preserve">Action 5A (review and update recruitment and selection procedure): Completed via </w:t>
            </w:r>
            <w:proofErr w:type="spellStart"/>
            <w:r w:rsidRPr="2B71850E">
              <w:rPr>
                <w:rFonts w:ascii="Verdana" w:hAnsi="Verdana"/>
              </w:rPr>
              <w:t>PeopleHub</w:t>
            </w:r>
            <w:proofErr w:type="spellEnd"/>
            <w:r w:rsidRPr="2B71850E">
              <w:rPr>
                <w:rFonts w:ascii="Verdana" w:hAnsi="Verdana"/>
              </w:rPr>
              <w:t xml:space="preserve"> rollout. </w:t>
            </w:r>
          </w:p>
          <w:p w14:paraId="1AC09CDE" w14:textId="6363B739" w:rsidR="54D9EB6B" w:rsidRDefault="54D9EB6B" w:rsidP="2B71850E">
            <w:pPr>
              <w:contextualSpacing/>
            </w:pPr>
            <w:r w:rsidRPr="2B71850E">
              <w:rPr>
                <w:rFonts w:ascii="Verdana" w:hAnsi="Verdana"/>
              </w:rPr>
              <w:t xml:space="preserve">Action 5B (support new HRIS implementation for intersectional data collection and reporting): </w:t>
            </w:r>
            <w:r w:rsidR="66B3028D" w:rsidRPr="2B71850E">
              <w:rPr>
                <w:rFonts w:ascii="Verdana" w:hAnsi="Verdana"/>
              </w:rPr>
              <w:t xml:space="preserve">Completed via </w:t>
            </w:r>
            <w:proofErr w:type="spellStart"/>
            <w:r w:rsidR="66B3028D" w:rsidRPr="2B71850E">
              <w:rPr>
                <w:rFonts w:ascii="Verdana" w:hAnsi="Verdana"/>
              </w:rPr>
              <w:t>PeopleHub</w:t>
            </w:r>
            <w:proofErr w:type="spellEnd"/>
            <w:r w:rsidR="66B3028D" w:rsidRPr="2B71850E">
              <w:rPr>
                <w:rFonts w:ascii="Verdana" w:hAnsi="Verdana"/>
              </w:rPr>
              <w:t xml:space="preserve"> rollout.</w:t>
            </w:r>
          </w:p>
          <w:p w14:paraId="78DE09A2" w14:textId="30740238" w:rsidR="54D9EB6B" w:rsidRDefault="54D9EB6B" w:rsidP="2B71850E">
            <w:pPr>
              <w:contextualSpacing/>
            </w:pPr>
            <w:r w:rsidRPr="2B71850E">
              <w:rPr>
                <w:rFonts w:ascii="Verdana" w:hAnsi="Verdana"/>
              </w:rPr>
              <w:t>Action 5B (use new data capability and reporting systems for recruitment and promotion insight): Completed. Further work to continue as demographic data increases.</w:t>
            </w:r>
          </w:p>
          <w:p w14:paraId="612E7F94" w14:textId="0701D03C" w:rsidR="005A67A9" w:rsidRPr="0020657C" w:rsidRDefault="54D9EB6B" w:rsidP="008F0958">
            <w:pPr>
              <w:contextualSpacing/>
              <w:rPr>
                <w:rFonts w:ascii="Verdana" w:hAnsi="Verdana"/>
              </w:rPr>
            </w:pPr>
            <w:r w:rsidRPr="2B71850E">
              <w:rPr>
                <w:rFonts w:ascii="Verdana" w:hAnsi="Verdana"/>
              </w:rPr>
              <w:t xml:space="preserve">Action 5B (embed equity and inclusion throughout recruitment and promotion practices): Discontinued as an unrealistic goal. Focus shifted to supporting </w:t>
            </w:r>
            <w:r w:rsidR="0081618B">
              <w:rPr>
                <w:rFonts w:ascii="Verdana" w:hAnsi="Verdana"/>
              </w:rPr>
              <w:t xml:space="preserve">increased </w:t>
            </w:r>
            <w:r w:rsidRPr="2B71850E">
              <w:rPr>
                <w:rFonts w:ascii="Verdana" w:hAnsi="Verdana"/>
              </w:rPr>
              <w:t>disclosure.</w:t>
            </w:r>
          </w:p>
        </w:tc>
      </w:tr>
      <w:tr w:rsidR="005A67A9" w:rsidRPr="00F60477" w14:paraId="66B79FC0" w14:textId="77777777" w:rsidTr="3ECC7EFB">
        <w:tc>
          <w:tcPr>
            <w:tcW w:w="555" w:type="pct"/>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80" w:type="dxa"/>
              <w:left w:w="120" w:type="dxa"/>
              <w:bottom w:w="80" w:type="dxa"/>
              <w:right w:w="120" w:type="dxa"/>
            </w:tcMar>
            <w:vAlign w:val="center"/>
          </w:tcPr>
          <w:p w14:paraId="10903B6B" w14:textId="77777777" w:rsidR="005A67A9" w:rsidRPr="00F60477" w:rsidRDefault="005A67A9" w:rsidP="00A563B9">
            <w:pPr>
              <w:contextualSpacing/>
              <w:rPr>
                <w:rFonts w:ascii="Verdana" w:hAnsi="Verdana"/>
              </w:rPr>
            </w:pPr>
            <w:r w:rsidRPr="00F60477">
              <w:rPr>
                <w:rFonts w:ascii="Verdana" w:hAnsi="Verdana"/>
                <w:b/>
                <w:bCs/>
              </w:rPr>
              <w:t>6</w:t>
            </w:r>
          </w:p>
        </w:tc>
        <w:tc>
          <w:tcPr>
            <w:tcW w:w="649"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8442AD3" w14:textId="77777777" w:rsidR="005A67A9" w:rsidRPr="00F60477" w:rsidRDefault="005A67A9" w:rsidP="00067795">
            <w:pPr>
              <w:contextualSpacing/>
              <w:rPr>
                <w:rFonts w:ascii="Verdana" w:hAnsi="Verdana"/>
              </w:rPr>
            </w:pPr>
            <w:r w:rsidRPr="00F60477">
              <w:rPr>
                <w:rFonts w:ascii="Verdana" w:hAnsi="Verdana"/>
              </w:rPr>
              <w:t>b, e, g</w:t>
            </w:r>
          </w:p>
        </w:tc>
        <w:tc>
          <w:tcPr>
            <w:tcW w:w="2204"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3F51994" w14:textId="083A519F" w:rsidR="00511B43" w:rsidRDefault="005A67A9" w:rsidP="00067795">
            <w:pPr>
              <w:contextualSpacing/>
              <w:rPr>
                <w:rFonts w:ascii="Verdana" w:hAnsi="Verdana"/>
              </w:rPr>
            </w:pPr>
            <w:r w:rsidRPr="00F60477">
              <w:rPr>
                <w:rFonts w:ascii="Verdana" w:hAnsi="Verdana"/>
                <w:b/>
                <w:bCs/>
              </w:rPr>
              <w:t xml:space="preserve">(b) </w:t>
            </w:r>
            <w:r w:rsidR="00CB6E2E" w:rsidRPr="00E4681A">
              <w:rPr>
                <w:rFonts w:ascii="Verdana" w:hAnsi="Verdana"/>
              </w:rPr>
              <w:t>Nature and Circumstances:</w:t>
            </w:r>
            <w:r w:rsidR="00CB6E2E">
              <w:rPr>
                <w:rFonts w:ascii="Verdana" w:hAnsi="Verdana"/>
                <w:b/>
                <w:bCs/>
              </w:rPr>
              <w:t xml:space="preserve"> </w:t>
            </w:r>
            <w:r w:rsidRPr="00F60477">
              <w:rPr>
                <w:rFonts w:ascii="Verdana" w:hAnsi="Verdana"/>
              </w:rPr>
              <w:t xml:space="preserve">Flexibility is embedded in service delivery design rather than granted through individual agreements. Nursing provides structured flexibility through shift choice and Nurse Bank arrangements; medical specialists work premium-rate sessional arrangements across </w:t>
            </w:r>
            <w:r w:rsidR="007476C6" w:rsidRPr="00F60477">
              <w:rPr>
                <w:rFonts w:ascii="Verdana" w:hAnsi="Verdana"/>
              </w:rPr>
              <w:t>facilities</w:t>
            </w:r>
            <w:r w:rsidR="007476C6">
              <w:rPr>
                <w:rFonts w:ascii="Verdana" w:hAnsi="Verdana"/>
              </w:rPr>
              <w:t>; non-clinical</w:t>
            </w:r>
            <w:r w:rsidR="005F0E21">
              <w:rPr>
                <w:rFonts w:ascii="Verdana" w:hAnsi="Verdana"/>
              </w:rPr>
              <w:t xml:space="preserve"> staff often negotiate flexibil</w:t>
            </w:r>
            <w:r w:rsidR="007D502B">
              <w:rPr>
                <w:rFonts w:ascii="Verdana" w:hAnsi="Verdana"/>
              </w:rPr>
              <w:t xml:space="preserve">ity at commencement. </w:t>
            </w:r>
          </w:p>
          <w:p w14:paraId="06FF4531" w14:textId="77777777" w:rsidR="00511B43" w:rsidRDefault="00511B43" w:rsidP="00067795">
            <w:pPr>
              <w:contextualSpacing/>
              <w:rPr>
                <w:rFonts w:ascii="Verdana" w:hAnsi="Verdana"/>
              </w:rPr>
            </w:pPr>
          </w:p>
          <w:p w14:paraId="3A2BA7E9" w14:textId="3FDC719C" w:rsidR="005A67A9" w:rsidRDefault="005A67A9" w:rsidP="00067795">
            <w:pPr>
              <w:contextualSpacing/>
              <w:rPr>
                <w:rFonts w:ascii="Verdana" w:eastAsia="Aptos" w:hAnsi="Verdana" w:cs="Aptos"/>
              </w:rPr>
            </w:pPr>
            <w:r w:rsidRPr="00F60477">
              <w:rPr>
                <w:rFonts w:ascii="Verdana" w:hAnsi="Verdana"/>
              </w:rPr>
              <w:t>Traditional flexible work metrics were designed for workforces where flexibility is an exception, not specialist healthcare environments where it is operationally standard.</w:t>
            </w:r>
            <w:r w:rsidR="008C1AAF">
              <w:rPr>
                <w:rFonts w:ascii="Verdana" w:hAnsi="Verdana"/>
              </w:rPr>
              <w:t xml:space="preserve"> </w:t>
            </w:r>
            <w:r w:rsidR="008C1AAF" w:rsidRPr="005C69A5">
              <w:rPr>
                <w:rFonts w:ascii="Verdana" w:eastAsia="Aptos" w:hAnsi="Verdana" w:cs="Aptos"/>
              </w:rPr>
              <w:t xml:space="preserve">The definitional </w:t>
            </w:r>
            <w:r w:rsidR="008C1AAF" w:rsidRPr="005C69A5">
              <w:rPr>
                <w:rFonts w:ascii="Verdana" w:eastAsia="Aptos" w:hAnsi="Verdana" w:cs="Aptos"/>
              </w:rPr>
              <w:lastRenderedPageBreak/>
              <w:t>difference between the Commission's survey categories and the Eye and Ear's employment classification framework means formal agreement rates systematically undercount actual flexible work practice and should not be read as indicating limited access to flexibility.</w:t>
            </w:r>
          </w:p>
          <w:p w14:paraId="60813211" w14:textId="77777777" w:rsidR="00511B43" w:rsidRPr="00F60477" w:rsidRDefault="00511B43" w:rsidP="00067795">
            <w:pPr>
              <w:contextualSpacing/>
              <w:rPr>
                <w:rFonts w:ascii="Verdana" w:hAnsi="Verdana"/>
              </w:rPr>
            </w:pPr>
          </w:p>
          <w:p w14:paraId="37D56585" w14:textId="36F2C9E6" w:rsidR="005A67A9" w:rsidRDefault="005A67A9" w:rsidP="00067795">
            <w:pPr>
              <w:contextualSpacing/>
              <w:rPr>
                <w:rFonts w:ascii="Verdana" w:hAnsi="Verdana"/>
              </w:rPr>
            </w:pPr>
            <w:r w:rsidRPr="00F60477">
              <w:rPr>
                <w:rFonts w:ascii="Verdana" w:hAnsi="Verdana"/>
                <w:b/>
                <w:bCs/>
              </w:rPr>
              <w:t xml:space="preserve">(e) </w:t>
            </w:r>
            <w:r w:rsidR="005E2257">
              <w:rPr>
                <w:rFonts w:ascii="Verdana" w:hAnsi="Verdana"/>
              </w:rPr>
              <w:t xml:space="preserve">Operational priorities: </w:t>
            </w:r>
            <w:r w:rsidRPr="00F60477">
              <w:rPr>
                <w:rFonts w:ascii="Verdana" w:hAnsi="Verdana"/>
              </w:rPr>
              <w:t>Clinical service delivery requires structural flexibility for 24/7 coverage and sessional specialist coordination. Career penalties for junior doctors taking parental leave cannot be eliminated without sector-wide specialist training program reforms</w:t>
            </w:r>
            <w:r w:rsidR="006772E4">
              <w:rPr>
                <w:rFonts w:ascii="Verdana" w:hAnsi="Verdana"/>
              </w:rPr>
              <w:t xml:space="preserve"> </w:t>
            </w:r>
            <w:r w:rsidR="006772E4" w:rsidRPr="005C69A5">
              <w:rPr>
                <w:rFonts w:ascii="Verdana" w:eastAsia="Aptos" w:hAnsi="Verdana" w:cs="Aptos"/>
              </w:rPr>
              <w:t>beyond the Eye and Ear's control</w:t>
            </w:r>
            <w:r w:rsidRPr="00F60477">
              <w:rPr>
                <w:rFonts w:ascii="Verdana" w:hAnsi="Verdana"/>
              </w:rPr>
              <w:t xml:space="preserve">. </w:t>
            </w:r>
            <w:r w:rsidR="001274F2" w:rsidRPr="001274F2">
              <w:rPr>
                <w:rFonts w:ascii="Verdana" w:hAnsi="Verdana"/>
              </w:rPr>
              <w:t>The central equity question is whether different flexibility models provide equitable career and remuneration outcomes across genders and occupational groups, and this question now underpins the 2026-2030 GEAP's flexibility actions.</w:t>
            </w:r>
          </w:p>
          <w:p w14:paraId="5760AA53" w14:textId="77777777" w:rsidR="00511B43" w:rsidRPr="00F60477" w:rsidRDefault="00511B43" w:rsidP="00067795">
            <w:pPr>
              <w:contextualSpacing/>
              <w:rPr>
                <w:rFonts w:ascii="Verdana" w:hAnsi="Verdana"/>
              </w:rPr>
            </w:pPr>
          </w:p>
          <w:p w14:paraId="0CAC411D" w14:textId="74B87068" w:rsidR="00B838B8" w:rsidRPr="005C69A5" w:rsidRDefault="005A67A9" w:rsidP="00B838B8">
            <w:pPr>
              <w:jc w:val="both"/>
              <w:rPr>
                <w:rFonts w:ascii="Verdana" w:eastAsia="Aptos" w:hAnsi="Verdana" w:cs="Aptos"/>
              </w:rPr>
            </w:pPr>
            <w:r w:rsidRPr="00F60477">
              <w:rPr>
                <w:rFonts w:ascii="Verdana" w:hAnsi="Verdana"/>
                <w:b/>
                <w:bCs/>
              </w:rPr>
              <w:t xml:space="preserve">(g) </w:t>
            </w:r>
            <w:r w:rsidR="001274F2" w:rsidRPr="00E4681A">
              <w:rPr>
                <w:rFonts w:ascii="Verdana" w:hAnsi="Verdana"/>
              </w:rPr>
              <w:t>Genuine attem</w:t>
            </w:r>
            <w:r w:rsidR="00584028" w:rsidRPr="00E4681A">
              <w:rPr>
                <w:rFonts w:ascii="Verdana" w:hAnsi="Verdana"/>
              </w:rPr>
              <w:t>pts:</w:t>
            </w:r>
            <w:r w:rsidR="00584028">
              <w:rPr>
                <w:rFonts w:ascii="Verdana" w:hAnsi="Verdana"/>
                <w:b/>
                <w:bCs/>
              </w:rPr>
              <w:t xml:space="preserve"> </w:t>
            </w:r>
            <w:r w:rsidR="00CC0BB8" w:rsidRPr="00CC0BB8">
              <w:rPr>
                <w:rFonts w:ascii="Verdana" w:hAnsi="Verdana"/>
              </w:rPr>
              <w:t>The</w:t>
            </w:r>
            <w:r w:rsidR="00CC0BB8">
              <w:rPr>
                <w:rFonts w:ascii="Verdana" w:hAnsi="Verdana"/>
                <w:b/>
                <w:bCs/>
              </w:rPr>
              <w:t xml:space="preserve"> </w:t>
            </w:r>
            <w:r w:rsidRPr="00F60477">
              <w:rPr>
                <w:rFonts w:ascii="Verdana" w:hAnsi="Verdana"/>
              </w:rPr>
              <w:t xml:space="preserve">Eye and Ear </w:t>
            </w:r>
            <w:proofErr w:type="gramStart"/>
            <w:r w:rsidRPr="00F60477">
              <w:rPr>
                <w:rFonts w:ascii="Verdana" w:hAnsi="Verdana"/>
              </w:rPr>
              <w:t>has</w:t>
            </w:r>
            <w:proofErr w:type="gramEnd"/>
            <w:r w:rsidRPr="00F60477">
              <w:rPr>
                <w:rFonts w:ascii="Verdana" w:hAnsi="Verdana"/>
              </w:rPr>
              <w:t xml:space="preserve"> developed operational flexibility models enabling workforce flexibility at scale</w:t>
            </w:r>
            <w:r w:rsidR="009A6D32">
              <w:rPr>
                <w:rFonts w:ascii="Verdana" w:hAnsi="Verdana"/>
              </w:rPr>
              <w:t xml:space="preserve"> </w:t>
            </w:r>
            <w:r w:rsidR="009A6D32" w:rsidRPr="005C69A5">
              <w:rPr>
                <w:rFonts w:ascii="Verdana" w:eastAsia="Aptos" w:hAnsi="Verdana" w:cs="Aptos"/>
              </w:rPr>
              <w:t>across all four occupational groups</w:t>
            </w:r>
            <w:r w:rsidRPr="00F60477">
              <w:rPr>
                <w:rFonts w:ascii="Verdana" w:hAnsi="Verdana"/>
              </w:rPr>
              <w:t xml:space="preserve">. </w:t>
            </w:r>
            <w:r w:rsidR="007D39DA" w:rsidRPr="005C69A5">
              <w:rPr>
                <w:rFonts w:ascii="Verdana" w:eastAsia="Aptos" w:hAnsi="Verdana" w:cs="Aptos"/>
              </w:rPr>
              <w:t>The analytical work undertaken during this reporting period has produced a materially deeper understanding of how flexibility operates differently across the organisation</w:t>
            </w:r>
            <w:r w:rsidR="007853CD">
              <w:rPr>
                <w:rFonts w:ascii="Verdana" w:eastAsia="Aptos" w:hAnsi="Verdana" w:cs="Aptos"/>
              </w:rPr>
              <w:t>.</w:t>
            </w:r>
            <w:r w:rsidR="007D39DA" w:rsidRPr="005C69A5">
              <w:rPr>
                <w:rFonts w:ascii="Verdana" w:eastAsia="Aptos" w:hAnsi="Verdana" w:cs="Aptos"/>
              </w:rPr>
              <w:t xml:space="preserve"> </w:t>
            </w:r>
            <w:r w:rsidR="00B838B8" w:rsidRPr="005C69A5">
              <w:rPr>
                <w:rFonts w:ascii="Verdana" w:eastAsia="Aptos" w:hAnsi="Verdana" w:cs="Aptos"/>
              </w:rPr>
              <w:t>The 2026-2030 GEAP will address gap</w:t>
            </w:r>
            <w:r w:rsidR="00246443">
              <w:rPr>
                <w:rFonts w:ascii="Verdana" w:eastAsia="Aptos" w:hAnsi="Verdana" w:cs="Aptos"/>
              </w:rPr>
              <w:t>s</w:t>
            </w:r>
            <w:r w:rsidR="00B838B8" w:rsidRPr="005C69A5">
              <w:rPr>
                <w:rFonts w:ascii="Verdana" w:eastAsia="Aptos" w:hAnsi="Verdana" w:cs="Aptos"/>
              </w:rPr>
              <w:t xml:space="preserve"> through manager capability building, equitable flexibility assessment across occupational groups, and communication strategies ensuring all employees </w:t>
            </w:r>
            <w:r w:rsidR="00212E5B">
              <w:rPr>
                <w:rFonts w:ascii="Verdana" w:eastAsia="Aptos" w:hAnsi="Verdana" w:cs="Aptos"/>
              </w:rPr>
              <w:t>are aware</w:t>
            </w:r>
            <w:r w:rsidR="0056110B">
              <w:rPr>
                <w:rFonts w:ascii="Verdana" w:eastAsia="Aptos" w:hAnsi="Verdana" w:cs="Aptos"/>
              </w:rPr>
              <w:t xml:space="preserve"> of</w:t>
            </w:r>
            <w:r w:rsidR="00B838B8" w:rsidRPr="005C69A5">
              <w:rPr>
                <w:rFonts w:ascii="Verdana" w:eastAsia="Aptos" w:hAnsi="Verdana" w:cs="Aptos"/>
              </w:rPr>
              <w:t xml:space="preserve"> </w:t>
            </w:r>
            <w:r w:rsidR="009E1989">
              <w:rPr>
                <w:rFonts w:ascii="Verdana" w:eastAsia="Aptos" w:hAnsi="Verdana" w:cs="Aptos"/>
              </w:rPr>
              <w:t>flexibil</w:t>
            </w:r>
            <w:r w:rsidR="00212E5B">
              <w:rPr>
                <w:rFonts w:ascii="Verdana" w:eastAsia="Aptos" w:hAnsi="Verdana" w:cs="Aptos"/>
              </w:rPr>
              <w:t>ity options.</w:t>
            </w:r>
          </w:p>
          <w:p w14:paraId="10A46AEC" w14:textId="1B383A99" w:rsidR="005A67A9" w:rsidRPr="00F60477" w:rsidRDefault="005A67A9" w:rsidP="00067795">
            <w:pPr>
              <w:contextualSpacing/>
              <w:rPr>
                <w:rFonts w:ascii="Verdana" w:hAnsi="Verdana"/>
              </w:rPr>
            </w:pPr>
          </w:p>
        </w:tc>
        <w:tc>
          <w:tcPr>
            <w:tcW w:w="1592"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75BFDF0" w14:textId="7EAE0947" w:rsidR="00DD4CFF" w:rsidRPr="00DD4CFF" w:rsidRDefault="1F3E4CB0" w:rsidP="2B71850E">
            <w:pPr>
              <w:contextualSpacing/>
              <w:rPr>
                <w:rFonts w:ascii="Verdana" w:hAnsi="Verdana"/>
              </w:rPr>
            </w:pPr>
            <w:r w:rsidRPr="2B71850E">
              <w:rPr>
                <w:rFonts w:ascii="Verdana" w:hAnsi="Verdana"/>
              </w:rPr>
              <w:lastRenderedPageBreak/>
              <w:t>Action</w:t>
            </w:r>
            <w:r w:rsidR="6C5ADA56" w:rsidRPr="00DD4CFF">
              <w:rPr>
                <w:rFonts w:ascii="Verdana" w:hAnsi="Verdana"/>
              </w:rPr>
              <w:t xml:space="preserve"> 6</w:t>
            </w:r>
            <w:r w:rsidRPr="2B71850E">
              <w:rPr>
                <w:rFonts w:ascii="Verdana" w:hAnsi="Verdana"/>
              </w:rPr>
              <w:t>.1 (socialise all</w:t>
            </w:r>
            <w:r w:rsidR="6C5ADA56" w:rsidRPr="00DD4CFF">
              <w:rPr>
                <w:rFonts w:ascii="Verdana" w:hAnsi="Verdana"/>
              </w:rPr>
              <w:t xml:space="preserve"> leave opportunities</w:t>
            </w:r>
            <w:r w:rsidRPr="2B71850E">
              <w:rPr>
                <w:rFonts w:ascii="Verdana" w:hAnsi="Verdana"/>
              </w:rPr>
              <w:t>): Moved to 2026-2030 GEAP</w:t>
            </w:r>
            <w:r w:rsidR="00007406">
              <w:rPr>
                <w:rFonts w:ascii="Verdana" w:hAnsi="Verdana"/>
              </w:rPr>
              <w:t xml:space="preserve"> (as ‘flexibility opportunities’).</w:t>
            </w:r>
          </w:p>
          <w:p w14:paraId="1BE6EAA4" w14:textId="5E059F32" w:rsidR="00DD4CFF" w:rsidRPr="00DD4CFF" w:rsidRDefault="1F3E4CB0" w:rsidP="2B71850E">
            <w:pPr>
              <w:contextualSpacing/>
            </w:pPr>
            <w:r w:rsidRPr="2B71850E">
              <w:rPr>
                <w:rFonts w:ascii="Verdana" w:hAnsi="Verdana"/>
              </w:rPr>
              <w:t>Action 6.2 (</w:t>
            </w:r>
            <w:r w:rsidR="6C5ADA56" w:rsidRPr="00DD4CFF">
              <w:rPr>
                <w:rFonts w:ascii="Verdana" w:hAnsi="Verdana"/>
              </w:rPr>
              <w:t>real-life examples of shared caring arrangements</w:t>
            </w:r>
            <w:r w:rsidRPr="2B71850E">
              <w:rPr>
                <w:rFonts w:ascii="Verdana" w:hAnsi="Verdana"/>
              </w:rPr>
              <w:t>): Moved to 2026-2030 GEAP</w:t>
            </w:r>
            <w:r w:rsidR="00DF6612">
              <w:rPr>
                <w:rFonts w:ascii="Verdana" w:hAnsi="Verdana"/>
              </w:rPr>
              <w:t xml:space="preserve"> (as ‘flexibility</w:t>
            </w:r>
            <w:r w:rsidR="003B7850">
              <w:rPr>
                <w:rFonts w:ascii="Verdana" w:hAnsi="Verdana"/>
              </w:rPr>
              <w:t xml:space="preserve"> </w:t>
            </w:r>
            <w:proofErr w:type="gramStart"/>
            <w:r w:rsidR="003B7850">
              <w:rPr>
                <w:rFonts w:ascii="Verdana" w:hAnsi="Verdana"/>
              </w:rPr>
              <w:t>opportunities’</w:t>
            </w:r>
            <w:proofErr w:type="gramEnd"/>
            <w:r w:rsidR="00DF6612">
              <w:rPr>
                <w:rFonts w:ascii="Verdana" w:hAnsi="Verdana"/>
              </w:rPr>
              <w:t>)</w:t>
            </w:r>
          </w:p>
          <w:p w14:paraId="53B20A84" w14:textId="78083280" w:rsidR="00DD4CFF" w:rsidRPr="00DD4CFF" w:rsidRDefault="1F3E4CB0" w:rsidP="2B71850E">
            <w:pPr>
              <w:contextualSpacing/>
            </w:pPr>
            <w:r w:rsidRPr="2B71850E">
              <w:rPr>
                <w:rFonts w:ascii="Verdana" w:hAnsi="Verdana"/>
              </w:rPr>
              <w:t>Action 6.3 (</w:t>
            </w:r>
            <w:r w:rsidR="6C5ADA56" w:rsidRPr="00DD4CFF">
              <w:rPr>
                <w:rFonts w:ascii="Verdana" w:hAnsi="Verdana"/>
              </w:rPr>
              <w:t xml:space="preserve">manager tools </w:t>
            </w:r>
            <w:r w:rsidRPr="2B71850E">
              <w:rPr>
                <w:rFonts w:ascii="Verdana" w:hAnsi="Verdana"/>
              </w:rPr>
              <w:t>and education on</w:t>
            </w:r>
            <w:r w:rsidR="6C5ADA56" w:rsidRPr="00DD4CFF">
              <w:rPr>
                <w:rFonts w:ascii="Verdana" w:hAnsi="Verdana"/>
              </w:rPr>
              <w:t xml:space="preserve"> leave entitlements</w:t>
            </w:r>
            <w:r w:rsidRPr="2B71850E">
              <w:rPr>
                <w:rFonts w:ascii="Verdana" w:hAnsi="Verdana"/>
              </w:rPr>
              <w:t>): Moved to</w:t>
            </w:r>
            <w:r w:rsidR="003B7850">
              <w:rPr>
                <w:rFonts w:ascii="Verdana" w:hAnsi="Verdana"/>
              </w:rPr>
              <w:t xml:space="preserve"> </w:t>
            </w:r>
            <w:r w:rsidRPr="2B71850E">
              <w:rPr>
                <w:rFonts w:ascii="Verdana" w:hAnsi="Verdana"/>
              </w:rPr>
              <w:t>2026-2030 GEAP</w:t>
            </w:r>
            <w:r w:rsidR="00C55692">
              <w:rPr>
                <w:rFonts w:ascii="Verdana" w:hAnsi="Verdana"/>
              </w:rPr>
              <w:t xml:space="preserve"> </w:t>
            </w:r>
            <w:r w:rsidR="00DF6612">
              <w:rPr>
                <w:rFonts w:ascii="Verdana" w:hAnsi="Verdana"/>
              </w:rPr>
              <w:t>(</w:t>
            </w:r>
            <w:r w:rsidR="00C55692">
              <w:rPr>
                <w:rFonts w:ascii="Verdana" w:hAnsi="Verdana"/>
              </w:rPr>
              <w:t>as ‘</w:t>
            </w:r>
            <w:r w:rsidR="00146DC0">
              <w:rPr>
                <w:rFonts w:ascii="Verdana" w:hAnsi="Verdana"/>
              </w:rPr>
              <w:t>flexibility</w:t>
            </w:r>
            <w:r w:rsidR="003B7850">
              <w:rPr>
                <w:rFonts w:ascii="Verdana" w:hAnsi="Verdana"/>
              </w:rPr>
              <w:t xml:space="preserve"> opportunities</w:t>
            </w:r>
            <w:r w:rsidR="00C55692">
              <w:rPr>
                <w:rFonts w:ascii="Verdana" w:hAnsi="Verdana"/>
              </w:rPr>
              <w:t>’</w:t>
            </w:r>
            <w:r w:rsidR="00DF6612">
              <w:rPr>
                <w:rFonts w:ascii="Verdana" w:hAnsi="Verdana"/>
              </w:rPr>
              <w:t>)</w:t>
            </w:r>
            <w:r w:rsidRPr="2B71850E">
              <w:rPr>
                <w:rFonts w:ascii="Verdana" w:hAnsi="Verdana"/>
              </w:rPr>
              <w:t>.</w:t>
            </w:r>
          </w:p>
          <w:p w14:paraId="37F7E656" w14:textId="1D7B67CD" w:rsidR="00DD4CFF" w:rsidRPr="00DD4CFF" w:rsidRDefault="1F3E4CB0" w:rsidP="2B71850E">
            <w:pPr>
              <w:contextualSpacing/>
            </w:pPr>
            <w:r w:rsidRPr="2B71850E">
              <w:rPr>
                <w:rFonts w:ascii="Verdana" w:hAnsi="Verdana"/>
              </w:rPr>
              <w:lastRenderedPageBreak/>
              <w:t xml:space="preserve">Flexible work arrangements </w:t>
            </w:r>
            <w:r w:rsidR="00076B8B">
              <w:rPr>
                <w:rFonts w:ascii="Verdana" w:hAnsi="Verdana"/>
              </w:rPr>
              <w:t xml:space="preserve">and hybrid work </w:t>
            </w:r>
            <w:r w:rsidRPr="2B71850E">
              <w:rPr>
                <w:rFonts w:ascii="Verdana" w:hAnsi="Verdana"/>
              </w:rPr>
              <w:t>procedure</w:t>
            </w:r>
            <w:r w:rsidR="00076B8B">
              <w:rPr>
                <w:rFonts w:ascii="Verdana" w:hAnsi="Verdana"/>
              </w:rPr>
              <w:t>s</w:t>
            </w:r>
            <w:r w:rsidRPr="2B71850E">
              <w:rPr>
                <w:rFonts w:ascii="Verdana" w:hAnsi="Verdana"/>
              </w:rPr>
              <w:t xml:space="preserve"> commenced during the reporting period</w:t>
            </w:r>
            <w:r w:rsidR="007A136E">
              <w:rPr>
                <w:rFonts w:ascii="Verdana" w:hAnsi="Verdana"/>
              </w:rPr>
              <w:t>.</w:t>
            </w:r>
          </w:p>
          <w:p w14:paraId="0826720E" w14:textId="226DC313" w:rsidR="00DD4CFF" w:rsidRPr="00DD4CFF" w:rsidRDefault="00DD4CFF" w:rsidP="3ECC7EFB">
            <w:pPr>
              <w:contextualSpacing/>
              <w:rPr>
                <w:rFonts w:ascii="Verdana" w:hAnsi="Verdana"/>
              </w:rPr>
            </w:pPr>
          </w:p>
          <w:p w14:paraId="53E3D6E3" w14:textId="06FDB941" w:rsidR="005A67A9" w:rsidRPr="00DD4CFF" w:rsidRDefault="005A67A9" w:rsidP="3ECC7EFB">
            <w:pPr>
              <w:contextualSpacing/>
              <w:rPr>
                <w:rFonts w:ascii="Verdana" w:hAnsi="Verdana"/>
              </w:rPr>
            </w:pPr>
          </w:p>
        </w:tc>
      </w:tr>
      <w:tr w:rsidR="005A67A9" w:rsidRPr="00F60477" w14:paraId="0704CB12" w14:textId="77777777" w:rsidTr="3ECC7EFB">
        <w:tc>
          <w:tcPr>
            <w:tcW w:w="555" w:type="pct"/>
            <w:tcBorders>
              <w:top w:val="single" w:sz="1" w:space="0" w:color="999999"/>
              <w:left w:val="single" w:sz="1" w:space="0" w:color="999999"/>
              <w:bottom w:val="single" w:sz="1" w:space="0" w:color="999999"/>
              <w:right w:val="single" w:sz="1" w:space="0" w:color="999999"/>
            </w:tcBorders>
            <w:shd w:val="clear" w:color="auto" w:fill="DAE9F7" w:themeFill="text2" w:themeFillTint="1A"/>
            <w:tcMar>
              <w:top w:w="80" w:type="dxa"/>
              <w:left w:w="120" w:type="dxa"/>
              <w:bottom w:w="80" w:type="dxa"/>
              <w:right w:w="120" w:type="dxa"/>
            </w:tcMar>
            <w:vAlign w:val="center"/>
          </w:tcPr>
          <w:p w14:paraId="2D78680F" w14:textId="77777777" w:rsidR="005A67A9" w:rsidRPr="00F60477" w:rsidRDefault="005A67A9" w:rsidP="002E6209">
            <w:pPr>
              <w:contextualSpacing/>
              <w:rPr>
                <w:rFonts w:ascii="Verdana" w:hAnsi="Verdana"/>
              </w:rPr>
            </w:pPr>
            <w:r w:rsidRPr="00F60477">
              <w:rPr>
                <w:rFonts w:ascii="Verdana" w:hAnsi="Verdana"/>
                <w:b/>
                <w:bCs/>
              </w:rPr>
              <w:lastRenderedPageBreak/>
              <w:t>7</w:t>
            </w:r>
          </w:p>
        </w:tc>
        <w:tc>
          <w:tcPr>
            <w:tcW w:w="649"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F3CE315" w14:textId="69F834B7" w:rsidR="005A67A9" w:rsidRPr="00F60477" w:rsidRDefault="005A67A9" w:rsidP="00067795">
            <w:pPr>
              <w:contextualSpacing/>
              <w:rPr>
                <w:rFonts w:ascii="Verdana" w:hAnsi="Verdana"/>
              </w:rPr>
            </w:pPr>
            <w:r w:rsidRPr="00F60477">
              <w:rPr>
                <w:rFonts w:ascii="Verdana" w:hAnsi="Verdana"/>
              </w:rPr>
              <w:t xml:space="preserve">b, </w:t>
            </w:r>
            <w:r w:rsidR="00CA428A">
              <w:rPr>
                <w:rFonts w:ascii="Verdana" w:hAnsi="Verdana"/>
              </w:rPr>
              <w:t>e,</w:t>
            </w:r>
            <w:r w:rsidRPr="00F60477">
              <w:rPr>
                <w:rFonts w:ascii="Verdana" w:hAnsi="Verdana"/>
              </w:rPr>
              <w:t xml:space="preserve"> g</w:t>
            </w:r>
          </w:p>
        </w:tc>
        <w:tc>
          <w:tcPr>
            <w:tcW w:w="2204"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6088B17" w14:textId="53B36700" w:rsidR="00E4681A" w:rsidRDefault="00E4681A" w:rsidP="00E4681A">
            <w:pPr>
              <w:contextualSpacing/>
              <w:rPr>
                <w:rFonts w:ascii="Verdana" w:hAnsi="Verdana"/>
              </w:rPr>
            </w:pPr>
            <w:r w:rsidRPr="00E4681A">
              <w:rPr>
                <w:rFonts w:ascii="Verdana" w:hAnsi="Verdana"/>
                <w:b/>
                <w:bCs/>
              </w:rPr>
              <w:t>(b)</w:t>
            </w:r>
            <w:r w:rsidRPr="00E4681A">
              <w:rPr>
                <w:rFonts w:ascii="Verdana" w:hAnsi="Verdana"/>
              </w:rPr>
              <w:t xml:space="preserve"> Nature and </w:t>
            </w:r>
            <w:r w:rsidR="009378A5">
              <w:rPr>
                <w:rFonts w:ascii="Verdana" w:hAnsi="Verdana"/>
              </w:rPr>
              <w:t>C</w:t>
            </w:r>
            <w:r w:rsidRPr="00E4681A">
              <w:rPr>
                <w:rFonts w:ascii="Verdana" w:hAnsi="Verdana"/>
              </w:rPr>
              <w:t>ircumstances: The Eye and Ear's occupational segregation is structurally embedded in professional qualification requirements, specialist college training pipelines and industrial frameworks that operate at sector and national levels. These structures have developed over generations and cannot be reversed through organisational recruitment or promotion strategies within any reporting period. The four occupational groups are professionally distinct and not interchangeable, and standard segregation metrics do not account for this structural reality.</w:t>
            </w:r>
          </w:p>
          <w:p w14:paraId="052F9854" w14:textId="77777777" w:rsidR="00E4681A" w:rsidRPr="00E4681A" w:rsidRDefault="00E4681A" w:rsidP="00E4681A">
            <w:pPr>
              <w:contextualSpacing/>
              <w:rPr>
                <w:rFonts w:ascii="Verdana" w:hAnsi="Verdana"/>
              </w:rPr>
            </w:pPr>
          </w:p>
          <w:p w14:paraId="30CCA715" w14:textId="12CAD809" w:rsidR="00E4681A" w:rsidRDefault="00E4681A" w:rsidP="00E4681A">
            <w:pPr>
              <w:contextualSpacing/>
              <w:rPr>
                <w:rFonts w:ascii="Verdana" w:hAnsi="Verdana"/>
              </w:rPr>
            </w:pPr>
            <w:r w:rsidRPr="00E4681A">
              <w:rPr>
                <w:rFonts w:ascii="Verdana" w:hAnsi="Verdana"/>
                <w:b/>
                <w:bCs/>
              </w:rPr>
              <w:lastRenderedPageBreak/>
              <w:t>(e)</w:t>
            </w:r>
            <w:r w:rsidRPr="00E4681A">
              <w:rPr>
                <w:rFonts w:ascii="Verdana" w:hAnsi="Verdana"/>
              </w:rPr>
              <w:t xml:space="preserve"> Operational priorities: Clinical service delivery depends on maintaining qualified workforces across all four occupational groups. Interventions that would alter occupational composition, such as recruiting men into nursing to improve gender balance statistics, would not address the underlying </w:t>
            </w:r>
            <w:r w:rsidR="00824B82">
              <w:rPr>
                <w:rFonts w:ascii="Verdana" w:hAnsi="Verdana"/>
              </w:rPr>
              <w:t xml:space="preserve">pay </w:t>
            </w:r>
            <w:r w:rsidRPr="00E4681A">
              <w:rPr>
                <w:rFonts w:ascii="Verdana" w:hAnsi="Verdana"/>
              </w:rPr>
              <w:t>equity issue</w:t>
            </w:r>
            <w:r w:rsidR="008C229F">
              <w:rPr>
                <w:rFonts w:ascii="Verdana" w:hAnsi="Verdana"/>
              </w:rPr>
              <w:t>.</w:t>
            </w:r>
            <w:r w:rsidRPr="00E4681A">
              <w:rPr>
                <w:rFonts w:ascii="Verdana" w:hAnsi="Verdana"/>
              </w:rPr>
              <w:t xml:space="preserve">  The Eye and Ear's equity priorities focus on conditions, career development and cultural safety within occupational groups rather than compositional targets that cannot be achieved through organisational action alone.</w:t>
            </w:r>
          </w:p>
          <w:p w14:paraId="52DA93A5" w14:textId="77777777" w:rsidR="00E4681A" w:rsidRPr="00E4681A" w:rsidRDefault="00E4681A" w:rsidP="00E4681A">
            <w:pPr>
              <w:contextualSpacing/>
              <w:rPr>
                <w:rFonts w:ascii="Verdana" w:hAnsi="Verdana"/>
              </w:rPr>
            </w:pPr>
          </w:p>
          <w:p w14:paraId="398E06C0" w14:textId="6767A70B" w:rsidR="005A67A9" w:rsidRPr="00E4681A" w:rsidRDefault="00E4681A" w:rsidP="00067795">
            <w:pPr>
              <w:contextualSpacing/>
              <w:rPr>
                <w:rFonts w:ascii="Verdana" w:hAnsi="Verdana"/>
              </w:rPr>
            </w:pPr>
            <w:r w:rsidRPr="00E4681A">
              <w:rPr>
                <w:rFonts w:ascii="Verdana" w:hAnsi="Verdana"/>
                <w:b/>
                <w:bCs/>
              </w:rPr>
              <w:t>(g)</w:t>
            </w:r>
            <w:r w:rsidRPr="00E4681A">
              <w:rPr>
                <w:rFonts w:ascii="Verdana" w:hAnsi="Verdana"/>
              </w:rPr>
              <w:t xml:space="preserve"> Genuine attempts: The Eye and Ear </w:t>
            </w:r>
            <w:proofErr w:type="gramStart"/>
            <w:r w:rsidRPr="00E4681A">
              <w:rPr>
                <w:rFonts w:ascii="Verdana" w:hAnsi="Verdana"/>
              </w:rPr>
              <w:t>has</w:t>
            </w:r>
            <w:proofErr w:type="gramEnd"/>
            <w:r w:rsidRPr="00E4681A">
              <w:rPr>
                <w:rFonts w:ascii="Verdana" w:hAnsi="Verdana"/>
              </w:rPr>
              <w:t xml:space="preserve"> invested substantially in developing the analytical capability to understand how occupational segregation operates in its specific context, has identified the limits of standard indicator frameworks for feminised healthcare workforces, and has designed the 2026-2030 GEAP to target equity interventions within direct organisational control. </w:t>
            </w:r>
          </w:p>
        </w:tc>
        <w:tc>
          <w:tcPr>
            <w:tcW w:w="1592"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9ABE441" w14:textId="60BC3C9C" w:rsidR="005A67A9" w:rsidRPr="00F60477" w:rsidRDefault="74443705" w:rsidP="2B71850E">
            <w:pPr>
              <w:contextualSpacing/>
              <w:rPr>
                <w:rFonts w:ascii="Verdana" w:hAnsi="Verdana"/>
              </w:rPr>
            </w:pPr>
            <w:r w:rsidRPr="2B71850E">
              <w:rPr>
                <w:rFonts w:ascii="Verdana" w:hAnsi="Verdana"/>
              </w:rPr>
              <w:lastRenderedPageBreak/>
              <w:t>Action 7.1 (investigate gender imbalance in teams, professions and management levels): Discontinued. Target not achievable given professional qualification requirements and determined inappropriate for healthcare workforce.</w:t>
            </w:r>
          </w:p>
          <w:p w14:paraId="316FB380" w14:textId="77777777" w:rsidR="00EF618E" w:rsidRPr="00EF618E" w:rsidRDefault="74443705" w:rsidP="00EF618E">
            <w:pPr>
              <w:contextualSpacing/>
              <w:rPr>
                <w:rFonts w:ascii="Verdana" w:hAnsi="Verdana"/>
              </w:rPr>
            </w:pPr>
            <w:r w:rsidRPr="2B71850E">
              <w:rPr>
                <w:rFonts w:ascii="Verdana" w:hAnsi="Verdana"/>
              </w:rPr>
              <w:t>Action 7.2 (review rostering practices for equitable participation): Discontinued</w:t>
            </w:r>
            <w:r w:rsidR="00EF618E">
              <w:rPr>
                <w:rFonts w:ascii="Verdana" w:hAnsi="Verdana"/>
              </w:rPr>
              <w:t xml:space="preserve"> </w:t>
            </w:r>
            <w:r w:rsidR="00EF618E" w:rsidRPr="00EF618E">
              <w:rPr>
                <w:rFonts w:ascii="Verdana" w:hAnsi="Verdana"/>
              </w:rPr>
              <w:t>after further analysis demonstrated it was unlikely to achieve meaningful impact as originally framed.</w:t>
            </w:r>
          </w:p>
          <w:p w14:paraId="2B5321AB" w14:textId="49B71D2C" w:rsidR="005A67A9" w:rsidRPr="00F60477" w:rsidRDefault="005A67A9" w:rsidP="2B71850E">
            <w:pPr>
              <w:contextualSpacing/>
            </w:pPr>
          </w:p>
          <w:p w14:paraId="5903EF6B" w14:textId="6829C500" w:rsidR="005A67A9" w:rsidRPr="00F60477" w:rsidRDefault="005A67A9" w:rsidP="00067795">
            <w:pPr>
              <w:contextualSpacing/>
              <w:rPr>
                <w:rFonts w:ascii="Verdana" w:hAnsi="Verdana"/>
              </w:rPr>
            </w:pPr>
          </w:p>
        </w:tc>
      </w:tr>
    </w:tbl>
    <w:p w14:paraId="6CFD73FE" w14:textId="77777777" w:rsidR="00151C88" w:rsidRPr="002112CD" w:rsidRDefault="00151C88" w:rsidP="00067795">
      <w:pPr>
        <w:contextualSpacing/>
        <w:rPr>
          <w:rFonts w:ascii="Verdana" w:hAnsi="Verdana"/>
        </w:rPr>
      </w:pPr>
    </w:p>
    <w:p w14:paraId="6CFD7403" w14:textId="1D5CEBA4" w:rsidR="00151C88" w:rsidRPr="002112CD" w:rsidRDefault="000C39A1" w:rsidP="00067795">
      <w:pPr>
        <w:contextualSpacing/>
        <w:rPr>
          <w:rFonts w:ascii="Verdana" w:hAnsi="Verdana"/>
        </w:rPr>
      </w:pPr>
      <w:r w:rsidRPr="002112CD">
        <w:rPr>
          <w:rFonts w:ascii="Verdana" w:hAnsi="Verdana"/>
        </w:rPr>
        <w:br/>
      </w:r>
    </w:p>
    <w:p w14:paraId="2BF93E35" w14:textId="77777777" w:rsidR="009378A5" w:rsidRDefault="009378A5">
      <w:pPr>
        <w:rPr>
          <w:rFonts w:ascii="Verdana" w:hAnsi="Verdana"/>
          <w:b/>
          <w:bCs/>
          <w:color w:val="1F3864"/>
          <w:sz w:val="32"/>
          <w:szCs w:val="32"/>
        </w:rPr>
      </w:pPr>
      <w:r>
        <w:rPr>
          <w:rFonts w:ascii="Verdana" w:hAnsi="Verdana"/>
        </w:rPr>
        <w:br w:type="page"/>
      </w:r>
    </w:p>
    <w:p w14:paraId="448421F9" w14:textId="2C7552E1" w:rsidR="00BE61C2" w:rsidRPr="002112CD" w:rsidRDefault="00BE61C2" w:rsidP="00067795">
      <w:pPr>
        <w:pStyle w:val="Heading1"/>
        <w:spacing w:before="0" w:after="0"/>
        <w:contextualSpacing/>
        <w:rPr>
          <w:rFonts w:ascii="Verdana" w:hAnsi="Verdana"/>
        </w:rPr>
      </w:pPr>
      <w:r w:rsidRPr="002112CD">
        <w:rPr>
          <w:rFonts w:ascii="Verdana" w:hAnsi="Verdana"/>
        </w:rPr>
        <w:lastRenderedPageBreak/>
        <w:t>Step 3: Reporting on GEAP Strategies (Template Version)</w:t>
      </w:r>
    </w:p>
    <w:p w14:paraId="1C18281F" w14:textId="77777777" w:rsidR="00BE61C2" w:rsidRPr="002112CD" w:rsidRDefault="00BE61C2" w:rsidP="00067795">
      <w:pPr>
        <w:contextualSpacing/>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96"/>
      </w:tblGrid>
      <w:tr w:rsidR="00BE61C2" w:rsidRPr="002112CD" w14:paraId="5944D250" w14:textId="77777777" w:rsidTr="00734764">
        <w:tc>
          <w:tcPr>
            <w:tcW w:w="5000" w:type="pct"/>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65C7FEDB" w14:textId="77777777" w:rsidR="00BE61C2" w:rsidRPr="002112CD" w:rsidRDefault="00BE61C2" w:rsidP="00067795">
            <w:pPr>
              <w:contextualSpacing/>
              <w:rPr>
                <w:rFonts w:ascii="Verdana" w:hAnsi="Verdana"/>
              </w:rPr>
            </w:pPr>
            <w:r w:rsidRPr="002112CD">
              <w:rPr>
                <w:rFonts w:ascii="Verdana" w:hAnsi="Verdana"/>
                <w:b/>
                <w:bCs/>
              </w:rPr>
              <w:t>Section 3.1: Explaining Incomplete Strategies (required)</w:t>
            </w:r>
          </w:p>
          <w:p w14:paraId="44891058" w14:textId="77777777" w:rsidR="00BE61C2" w:rsidRPr="002112CD" w:rsidRDefault="00BE61C2" w:rsidP="00067795">
            <w:pPr>
              <w:contextualSpacing/>
              <w:rPr>
                <w:rFonts w:ascii="Verdana" w:hAnsi="Verdana"/>
              </w:rPr>
            </w:pPr>
            <w:r w:rsidRPr="002112CD">
              <w:rPr>
                <w:rFonts w:ascii="Verdana" w:hAnsi="Verdana"/>
                <w:i/>
                <w:iCs/>
                <w:color w:val="666666"/>
                <w:sz w:val="18"/>
                <w:szCs w:val="18"/>
              </w:rPr>
              <w:t>For any strategies in your GEAP that were not completed, explain why.</w:t>
            </w:r>
          </w:p>
        </w:tc>
      </w:tr>
      <w:tr w:rsidR="00BE61C2" w:rsidRPr="002112CD" w14:paraId="63CD7AFF" w14:textId="77777777" w:rsidTr="00734764">
        <w:tc>
          <w:tcPr>
            <w:tcW w:w="5000"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2E4C8E9" w14:textId="38F8AE8E" w:rsidR="0030235E" w:rsidRDefault="0030235E" w:rsidP="0030235E">
            <w:pPr>
              <w:contextualSpacing/>
              <w:rPr>
                <w:rFonts w:ascii="Verdana" w:hAnsi="Verdana"/>
              </w:rPr>
            </w:pPr>
            <w:r w:rsidRPr="0030235E">
              <w:rPr>
                <w:rFonts w:ascii="Verdana" w:hAnsi="Verdana"/>
              </w:rPr>
              <w:t xml:space="preserve">Of the 41 discrete actions in the 2022-2025 GEAP, 41% were completed, 37% have been carried forward to the 2026-2030 GEAP for continued implementation, and 22% were discontinued. Carried forward actions cluster across four areas: sexual harassment reporting and response improvements, manager capability building for inclusive leadership and flexibility, </w:t>
            </w:r>
            <w:r w:rsidRPr="0013766B">
              <w:rPr>
                <w:rFonts w:ascii="Verdana" w:hAnsi="Verdana"/>
              </w:rPr>
              <w:t>leave socialisation and carer support</w:t>
            </w:r>
            <w:r w:rsidRPr="0030235E">
              <w:rPr>
                <w:rFonts w:ascii="Verdana" w:hAnsi="Verdana"/>
              </w:rPr>
              <w:t>, and ongoing cultural change and demographic disclosure work. These are consolidated into fewer, higher-impact actions in the 2026-2030 GEAP rather than carried forward as discrete items, ensuring continued progress without fragmenting effort across a large action list.</w:t>
            </w:r>
          </w:p>
          <w:p w14:paraId="47E5B2A9" w14:textId="77777777" w:rsidR="0030235E" w:rsidRPr="0030235E" w:rsidRDefault="0030235E" w:rsidP="0030235E">
            <w:pPr>
              <w:contextualSpacing/>
              <w:rPr>
                <w:rFonts w:ascii="Verdana" w:hAnsi="Verdana"/>
                <w:sz w:val="12"/>
                <w:szCs w:val="12"/>
              </w:rPr>
            </w:pPr>
          </w:p>
          <w:p w14:paraId="6DFC5EB2" w14:textId="77777777" w:rsidR="0030235E" w:rsidRDefault="0030235E" w:rsidP="0030235E">
            <w:pPr>
              <w:contextualSpacing/>
              <w:rPr>
                <w:rFonts w:ascii="Verdana" w:hAnsi="Verdana"/>
              </w:rPr>
            </w:pPr>
            <w:r w:rsidRPr="0030235E">
              <w:rPr>
                <w:rFonts w:ascii="Verdana" w:hAnsi="Verdana"/>
              </w:rPr>
              <w:t xml:space="preserve">The single most significant barrier was dependency on the </w:t>
            </w:r>
            <w:proofErr w:type="spellStart"/>
            <w:r w:rsidRPr="0030235E">
              <w:rPr>
                <w:rFonts w:ascii="Verdana" w:hAnsi="Verdana"/>
              </w:rPr>
              <w:t>PeopleHub</w:t>
            </w:r>
            <w:proofErr w:type="spellEnd"/>
            <w:r w:rsidRPr="0030235E">
              <w:rPr>
                <w:rFonts w:ascii="Verdana" w:hAnsi="Verdana"/>
              </w:rPr>
              <w:t xml:space="preserve"> HRIS system, delayed throughout the entire reporting period. Multiple action streams required this infrastructure, including intersectional data collection, pay equity analysis, and recruitment data tracking. </w:t>
            </w:r>
            <w:proofErr w:type="spellStart"/>
            <w:r w:rsidRPr="0030235E">
              <w:rPr>
                <w:rFonts w:ascii="Verdana" w:hAnsi="Verdana"/>
              </w:rPr>
              <w:t>PeopleHub</w:t>
            </w:r>
            <w:proofErr w:type="spellEnd"/>
            <w:r w:rsidRPr="0030235E">
              <w:rPr>
                <w:rFonts w:ascii="Verdana" w:hAnsi="Verdana"/>
              </w:rPr>
              <w:t xml:space="preserve"> has since been rolled out, and the 2026-2030 GEAP has been designed to reduce dependency on any single system.</w:t>
            </w:r>
          </w:p>
          <w:p w14:paraId="3942110E" w14:textId="77777777" w:rsidR="0030235E" w:rsidRPr="0030235E" w:rsidRDefault="0030235E" w:rsidP="0030235E">
            <w:pPr>
              <w:contextualSpacing/>
              <w:rPr>
                <w:rFonts w:ascii="Verdana" w:hAnsi="Verdana"/>
                <w:sz w:val="12"/>
                <w:szCs w:val="12"/>
              </w:rPr>
            </w:pPr>
          </w:p>
          <w:p w14:paraId="05C9BA85" w14:textId="56D06FA5" w:rsidR="0030235E" w:rsidRDefault="0030235E" w:rsidP="0030235E">
            <w:pPr>
              <w:contextualSpacing/>
              <w:rPr>
                <w:rFonts w:ascii="Verdana" w:hAnsi="Verdana"/>
              </w:rPr>
            </w:pPr>
            <w:r w:rsidRPr="0030235E">
              <w:rPr>
                <w:rFonts w:ascii="Verdana" w:hAnsi="Verdana"/>
              </w:rPr>
              <w:t xml:space="preserve">Action 3.1a, implementing a remuneration framework for non-clinical roles, was not completed during this period. Subsequent analysis identified that the more immediate priority is ensuring employees are correctly classified into the right occupational groups, as misclassification affects how pay gap data is read and where equity interventions are targeted. This work will continue in the 2026-2030 GEAP alongside </w:t>
            </w:r>
            <w:r w:rsidR="004F3C33">
              <w:rPr>
                <w:rFonts w:ascii="Verdana" w:hAnsi="Verdana"/>
              </w:rPr>
              <w:t xml:space="preserve">the </w:t>
            </w:r>
            <w:r w:rsidRPr="0030235E">
              <w:rPr>
                <w:rFonts w:ascii="Verdana" w:hAnsi="Verdana"/>
              </w:rPr>
              <w:t>Eye and Ear's concurrent role rationalisation project, which is reviewing and consolidating job titles across the organisation and mapping roles to the correct occupational groups for workforce reporting purposes</w:t>
            </w:r>
            <w:r w:rsidR="00005440">
              <w:rPr>
                <w:rFonts w:ascii="Verdana" w:hAnsi="Verdana"/>
              </w:rPr>
              <w:t>.</w:t>
            </w:r>
          </w:p>
          <w:p w14:paraId="6B05437F" w14:textId="77777777" w:rsidR="0030235E" w:rsidRPr="0030235E" w:rsidRDefault="0030235E" w:rsidP="0030235E">
            <w:pPr>
              <w:contextualSpacing/>
              <w:rPr>
                <w:rFonts w:ascii="Verdana" w:hAnsi="Verdana"/>
              </w:rPr>
            </w:pPr>
          </w:p>
          <w:p w14:paraId="27052A81" w14:textId="35DAD885" w:rsidR="0030235E" w:rsidRDefault="0030235E" w:rsidP="0030235E">
            <w:pPr>
              <w:contextualSpacing/>
              <w:rPr>
                <w:rFonts w:ascii="Verdana" w:hAnsi="Verdana"/>
              </w:rPr>
            </w:pPr>
            <w:r w:rsidRPr="0030235E">
              <w:rPr>
                <w:rFonts w:ascii="Verdana" w:hAnsi="Verdana"/>
              </w:rPr>
              <w:t xml:space="preserve">Indicator 7 (Gendered Segregation) actions showed minimal progress because early analysis revealed traditional desegregation approaches are fundamentally inappropriate for feminised healthcare workforces. Two of three actions were discontinued after analysis demonstrated that original targets, including placing individual employees into gender-atypical roles, did not address structural drivers of segregation. A further three actions targeting </w:t>
            </w:r>
            <w:r w:rsidRPr="0013766B">
              <w:rPr>
                <w:rFonts w:ascii="Verdana" w:hAnsi="Verdana"/>
              </w:rPr>
              <w:t>40:40:20</w:t>
            </w:r>
            <w:r w:rsidRPr="0030235E">
              <w:rPr>
                <w:rFonts w:ascii="Verdana" w:hAnsi="Verdana"/>
              </w:rPr>
              <w:t xml:space="preserve"> </w:t>
            </w:r>
            <w:r w:rsidR="00413A10">
              <w:rPr>
                <w:rFonts w:ascii="Verdana" w:hAnsi="Verdana"/>
              </w:rPr>
              <w:t>(</w:t>
            </w:r>
            <w:r w:rsidR="00413A10" w:rsidRPr="0013766B">
              <w:rPr>
                <w:rFonts w:ascii="Verdana" w:hAnsi="Verdana"/>
              </w:rPr>
              <w:t>40% male 40% female and 20% non-described</w:t>
            </w:r>
            <w:r w:rsidR="006D14CF" w:rsidRPr="0013766B">
              <w:rPr>
                <w:rFonts w:ascii="Verdana" w:hAnsi="Verdana"/>
              </w:rPr>
              <w:t>)</w:t>
            </w:r>
            <w:r w:rsidR="006D14CF">
              <w:rPr>
                <w:rFonts w:ascii="Verdana" w:hAnsi="Verdana"/>
              </w:rPr>
              <w:t xml:space="preserve"> </w:t>
            </w:r>
            <w:r w:rsidRPr="0030235E">
              <w:rPr>
                <w:rFonts w:ascii="Verdana" w:hAnsi="Verdana"/>
              </w:rPr>
              <w:t xml:space="preserve">gender balance in senior leadership and a 5% decrease in intersectionality as a barrier to career success were also discontinued as unrealistic given the Eye and Ear's </w:t>
            </w:r>
            <w:r w:rsidR="006A6B9B">
              <w:rPr>
                <w:rFonts w:ascii="Verdana" w:hAnsi="Verdana"/>
              </w:rPr>
              <w:t xml:space="preserve">the small cohort disclosing </w:t>
            </w:r>
            <w:r w:rsidR="00B26BF7">
              <w:rPr>
                <w:rFonts w:ascii="Verdana" w:hAnsi="Verdana"/>
              </w:rPr>
              <w:t>‘non-described’.</w:t>
            </w:r>
            <w:r w:rsidRPr="0030235E">
              <w:rPr>
                <w:rFonts w:ascii="Verdana" w:hAnsi="Verdana"/>
              </w:rPr>
              <w:t xml:space="preserve"> These findings are discussed in detail under Indicators 5 and 7.</w:t>
            </w:r>
          </w:p>
          <w:p w14:paraId="39D6CE67" w14:textId="77777777" w:rsidR="0030235E" w:rsidRPr="0030235E" w:rsidRDefault="0030235E" w:rsidP="0030235E">
            <w:pPr>
              <w:contextualSpacing/>
              <w:rPr>
                <w:rFonts w:ascii="Verdana" w:hAnsi="Verdana"/>
                <w:sz w:val="12"/>
                <w:szCs w:val="12"/>
              </w:rPr>
            </w:pPr>
          </w:p>
          <w:p w14:paraId="0C3C5475" w14:textId="6847C047" w:rsidR="0030235E" w:rsidRDefault="0030235E" w:rsidP="0030235E">
            <w:pPr>
              <w:contextualSpacing/>
              <w:rPr>
                <w:rFonts w:ascii="Verdana" w:hAnsi="Verdana"/>
              </w:rPr>
            </w:pPr>
            <w:r w:rsidRPr="0030235E">
              <w:rPr>
                <w:rFonts w:ascii="Verdana" w:hAnsi="Verdana"/>
              </w:rPr>
              <w:t>The Eye and Ear successfully expanded its Peer Support program from 9 contact officers to 10</w:t>
            </w:r>
            <w:r w:rsidR="00B26BF7">
              <w:rPr>
                <w:rFonts w:ascii="Verdana" w:hAnsi="Verdana"/>
              </w:rPr>
              <w:t>,</w:t>
            </w:r>
            <w:r w:rsidRPr="0030235E">
              <w:rPr>
                <w:rFonts w:ascii="Verdana" w:hAnsi="Verdana"/>
              </w:rPr>
              <w:t xml:space="preserve"> </w:t>
            </w:r>
            <w:r w:rsidR="00B26BF7">
              <w:rPr>
                <w:rFonts w:ascii="Verdana" w:hAnsi="Verdana"/>
              </w:rPr>
              <w:t>al</w:t>
            </w:r>
            <w:r w:rsidRPr="0030235E">
              <w:rPr>
                <w:rFonts w:ascii="Verdana" w:hAnsi="Verdana"/>
              </w:rPr>
              <w:t>though zero sexual harassment reports were made through this channel. Seven sexual harassment actions have been carried forward to the 2026-2030 GEAP, informed by the significant shift toward patient-perpetrated harassment identified in the 2025 People Matter Survey and discussed under Indicator 4.</w:t>
            </w:r>
          </w:p>
          <w:p w14:paraId="29FE9D87" w14:textId="77777777" w:rsidR="0030235E" w:rsidRPr="0030235E" w:rsidRDefault="0030235E" w:rsidP="0030235E">
            <w:pPr>
              <w:contextualSpacing/>
              <w:rPr>
                <w:rFonts w:ascii="Verdana" w:hAnsi="Verdana"/>
                <w:sz w:val="12"/>
                <w:szCs w:val="12"/>
              </w:rPr>
            </w:pPr>
          </w:p>
          <w:p w14:paraId="27B848CC" w14:textId="07872832" w:rsidR="00BE61C2" w:rsidRPr="002112CD" w:rsidRDefault="0030235E" w:rsidP="00067795">
            <w:pPr>
              <w:contextualSpacing/>
              <w:rPr>
                <w:rFonts w:ascii="Verdana" w:hAnsi="Verdana"/>
              </w:rPr>
            </w:pPr>
            <w:r w:rsidRPr="0030235E">
              <w:rPr>
                <w:rFonts w:ascii="Verdana" w:hAnsi="Verdana"/>
              </w:rPr>
              <w:t xml:space="preserve">All actions under Indicator 6 (Leave and Flexibility) were scheduled for 2024-25. </w:t>
            </w:r>
            <w:r w:rsidRPr="0013766B">
              <w:rPr>
                <w:rFonts w:ascii="Verdana" w:hAnsi="Verdana"/>
              </w:rPr>
              <w:t>Three of four have been carried forward</w:t>
            </w:r>
            <w:r w:rsidRPr="0030235E">
              <w:rPr>
                <w:rFonts w:ascii="Verdana" w:hAnsi="Verdana"/>
              </w:rPr>
              <w:t>, while one was discontinued. The Eye and Ear's workforce analysis revealed that the original actions would not address the structural inequities in how flexibility is experienced across occupational groups, as detailed under Indicator 6.</w:t>
            </w:r>
          </w:p>
        </w:tc>
      </w:tr>
      <w:tr w:rsidR="00BE61C2" w:rsidRPr="002112CD" w14:paraId="6FCBA3D3" w14:textId="77777777" w:rsidTr="00734764">
        <w:tc>
          <w:tcPr>
            <w:tcW w:w="5000" w:type="pct"/>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5CF46E03" w14:textId="77777777" w:rsidR="00BE61C2" w:rsidRPr="002112CD" w:rsidRDefault="00BE61C2" w:rsidP="00067795">
            <w:pPr>
              <w:contextualSpacing/>
              <w:rPr>
                <w:rFonts w:ascii="Verdana" w:hAnsi="Verdana"/>
              </w:rPr>
            </w:pPr>
            <w:r w:rsidRPr="002112CD">
              <w:rPr>
                <w:rFonts w:ascii="Verdana" w:hAnsi="Verdana"/>
                <w:b/>
                <w:bCs/>
              </w:rPr>
              <w:t>Section 3.2: Achievements, Challenges and Learnings (recommended)</w:t>
            </w:r>
          </w:p>
          <w:p w14:paraId="282D6014" w14:textId="77777777" w:rsidR="00BE61C2" w:rsidRPr="002112CD" w:rsidRDefault="00BE61C2" w:rsidP="00067795">
            <w:pPr>
              <w:contextualSpacing/>
              <w:rPr>
                <w:rFonts w:ascii="Verdana" w:hAnsi="Verdana"/>
              </w:rPr>
            </w:pPr>
            <w:r w:rsidRPr="002112CD">
              <w:rPr>
                <w:rFonts w:ascii="Verdana" w:hAnsi="Verdana"/>
                <w:i/>
                <w:iCs/>
                <w:color w:val="666666"/>
                <w:sz w:val="18"/>
                <w:szCs w:val="18"/>
              </w:rPr>
              <w:t>Describe any key achievements, challenges, or learnings.</w:t>
            </w:r>
          </w:p>
        </w:tc>
      </w:tr>
      <w:tr w:rsidR="00BE61C2" w:rsidRPr="002112CD" w14:paraId="47ACF7DE" w14:textId="77777777" w:rsidTr="00734764">
        <w:tc>
          <w:tcPr>
            <w:tcW w:w="5000"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3A4F80C" w14:textId="74A5A4ED" w:rsidR="00BE61C2" w:rsidRPr="002112CD" w:rsidRDefault="00BE61C2" w:rsidP="2B71850E">
            <w:pPr>
              <w:contextualSpacing/>
              <w:rPr>
                <w:rFonts w:ascii="Verdana" w:hAnsi="Verdana"/>
              </w:rPr>
            </w:pPr>
          </w:p>
          <w:p w14:paraId="360185DF" w14:textId="40943D15" w:rsidR="00BE61C2" w:rsidRPr="002112CD" w:rsidRDefault="7F9F3BD1" w:rsidP="2B71850E">
            <w:pPr>
              <w:contextualSpacing/>
              <w:rPr>
                <w:rFonts w:ascii="Verdana" w:hAnsi="Verdana"/>
              </w:rPr>
            </w:pPr>
            <w:r w:rsidRPr="2B71850E">
              <w:rPr>
                <w:rFonts w:ascii="Verdana" w:hAnsi="Verdana"/>
                <w:b/>
                <w:bCs/>
              </w:rPr>
              <w:t xml:space="preserve">Achievements: </w:t>
            </w:r>
            <w:r w:rsidRPr="2B71850E">
              <w:rPr>
                <w:rFonts w:ascii="Verdana" w:hAnsi="Verdana"/>
              </w:rPr>
              <w:t xml:space="preserve">The Eye and Ear's most significant achievement was developing comprehensive analytical frameworks revealing how gender inequality operates in healthcare. The Level to CEO analysis demonstrated that traditional hierarchical progression does not apply across most of the </w:t>
            </w:r>
            <w:r w:rsidRPr="2B71850E">
              <w:rPr>
                <w:rFonts w:ascii="Verdana" w:hAnsi="Verdana"/>
              </w:rPr>
              <w:lastRenderedPageBreak/>
              <w:t xml:space="preserve">workforce: levels reflect award classifications and role types rather than career stages, nursing </w:t>
            </w:r>
            <w:r w:rsidR="00E25FAD">
              <w:rPr>
                <w:rFonts w:ascii="Verdana" w:hAnsi="Verdana"/>
              </w:rPr>
              <w:t xml:space="preserve">and medical </w:t>
            </w:r>
            <w:r w:rsidRPr="2B71850E">
              <w:rPr>
                <w:rFonts w:ascii="Verdana" w:hAnsi="Verdana"/>
              </w:rPr>
              <w:t>pathways terminate at Level -2 with no route to executive</w:t>
            </w:r>
            <w:r w:rsidR="00912CB8">
              <w:rPr>
                <w:rFonts w:ascii="Verdana" w:hAnsi="Verdana"/>
              </w:rPr>
              <w:t xml:space="preserve">. </w:t>
            </w:r>
            <w:r w:rsidRPr="2B71850E">
              <w:rPr>
                <w:rFonts w:ascii="Verdana" w:hAnsi="Verdana"/>
              </w:rPr>
              <w:t xml:space="preserve">This reframing identified </w:t>
            </w:r>
            <w:proofErr w:type="gramStart"/>
            <w:r w:rsidRPr="2B71850E">
              <w:rPr>
                <w:rFonts w:ascii="Verdana" w:hAnsi="Verdana"/>
              </w:rPr>
              <w:t>Non-Clinical</w:t>
            </w:r>
            <w:proofErr w:type="gramEnd"/>
            <w:r w:rsidRPr="2B71850E">
              <w:rPr>
                <w:rFonts w:ascii="Verdana" w:hAnsi="Verdana"/>
              </w:rPr>
              <w:t xml:space="preserve"> as the only occupational group where level-to-CEO functions as a meaningful progression indicator. Even here, </w:t>
            </w:r>
            <w:proofErr w:type="gramStart"/>
            <w:r w:rsidRPr="2B71850E">
              <w:rPr>
                <w:rFonts w:ascii="Verdana" w:hAnsi="Verdana"/>
              </w:rPr>
              <w:t>Non-Clinical</w:t>
            </w:r>
            <w:proofErr w:type="gramEnd"/>
            <w:r w:rsidRPr="2B71850E">
              <w:rPr>
                <w:rFonts w:ascii="Verdana" w:hAnsi="Verdana"/>
              </w:rPr>
              <w:t xml:space="preserve"> operates as several distinct streams (corporate/management, finance, ICT/digital, facilities/trades, clinical support) rather than a single pipeline, with women well represented where genuine hierarchical progression exists (55% of directors, 65% of managers).</w:t>
            </w:r>
          </w:p>
          <w:p w14:paraId="2BA3ADB2" w14:textId="2F8AE218" w:rsidR="00BE61C2" w:rsidRPr="002112CD" w:rsidRDefault="00BE61C2" w:rsidP="2B71850E">
            <w:pPr>
              <w:contextualSpacing/>
              <w:rPr>
                <w:rFonts w:ascii="Verdana" w:hAnsi="Verdana"/>
                <w:sz w:val="12"/>
                <w:szCs w:val="12"/>
              </w:rPr>
            </w:pPr>
          </w:p>
          <w:p w14:paraId="7364EA98" w14:textId="0047442F" w:rsidR="00BE61C2" w:rsidRPr="002112CD" w:rsidRDefault="7F9F3BD1" w:rsidP="2B71850E">
            <w:pPr>
              <w:contextualSpacing/>
              <w:rPr>
                <w:rFonts w:ascii="Verdana" w:hAnsi="Verdana"/>
              </w:rPr>
            </w:pPr>
            <w:r w:rsidRPr="2B71850E">
              <w:rPr>
                <w:rFonts w:ascii="Verdana" w:hAnsi="Verdana"/>
              </w:rPr>
              <w:t xml:space="preserve">Occupational group analysis across </w:t>
            </w:r>
            <w:r w:rsidR="00040762">
              <w:rPr>
                <w:rFonts w:ascii="Verdana" w:hAnsi="Verdana"/>
              </w:rPr>
              <w:t>Allied Health</w:t>
            </w:r>
            <w:r w:rsidRPr="2B71850E">
              <w:rPr>
                <w:rFonts w:ascii="Verdana" w:hAnsi="Verdana"/>
              </w:rPr>
              <w:t xml:space="preserve"> (162 positions, 15%), Medical (400 positions, 36%), Nursing (304 positions, 28%), and </w:t>
            </w:r>
            <w:proofErr w:type="gramStart"/>
            <w:r w:rsidRPr="2B71850E">
              <w:rPr>
                <w:rFonts w:ascii="Verdana" w:hAnsi="Verdana"/>
              </w:rPr>
              <w:t>Non-Clinical</w:t>
            </w:r>
            <w:proofErr w:type="gramEnd"/>
            <w:r w:rsidRPr="2B71850E">
              <w:rPr>
                <w:rFonts w:ascii="Verdana" w:hAnsi="Verdana"/>
              </w:rPr>
              <w:t xml:space="preserve"> (230 positions, 21%) revealed that aggregate statistics mask </w:t>
            </w:r>
            <w:r w:rsidR="000C73D0">
              <w:rPr>
                <w:rFonts w:ascii="Verdana" w:hAnsi="Verdana"/>
              </w:rPr>
              <w:t>notable</w:t>
            </w:r>
            <w:r w:rsidR="000C73D0" w:rsidRPr="2B71850E">
              <w:rPr>
                <w:rFonts w:ascii="Verdana" w:hAnsi="Verdana"/>
              </w:rPr>
              <w:t xml:space="preserve"> </w:t>
            </w:r>
            <w:r w:rsidRPr="2B71850E">
              <w:rPr>
                <w:rFonts w:ascii="Verdana" w:hAnsi="Verdana"/>
              </w:rPr>
              <w:t>segregation. Each group operates under different awards with distinct gender dynamics, pay structures and employment patterns. The ANZSCO 'Professionals' category appears 63% women but conceals a salary differential of approximately $213,000 in mean base pay between nursing and medical specialist roles.</w:t>
            </w:r>
          </w:p>
          <w:p w14:paraId="4994F60E" w14:textId="2CBE804F" w:rsidR="00BE61C2" w:rsidRPr="002112CD" w:rsidRDefault="00BE61C2" w:rsidP="2B71850E">
            <w:pPr>
              <w:contextualSpacing/>
              <w:rPr>
                <w:rFonts w:ascii="Verdana" w:hAnsi="Verdana"/>
                <w:sz w:val="12"/>
                <w:szCs w:val="12"/>
              </w:rPr>
            </w:pPr>
          </w:p>
          <w:p w14:paraId="58BB9A8F" w14:textId="0D66A8A1" w:rsidR="00BE61C2" w:rsidRPr="002112CD" w:rsidRDefault="7F9F3BD1" w:rsidP="2B71850E">
            <w:pPr>
              <w:contextualSpacing/>
              <w:rPr>
                <w:rFonts w:ascii="Verdana" w:hAnsi="Verdana"/>
              </w:rPr>
            </w:pPr>
            <w:r w:rsidRPr="2B71850E">
              <w:rPr>
                <w:rFonts w:ascii="Verdana" w:hAnsi="Verdana"/>
              </w:rPr>
              <w:t>Intersectional People Matter Survey analysis identified LGBTQIA+ employees (20-</w:t>
            </w:r>
            <w:r w:rsidR="00F079AA">
              <w:rPr>
                <w:rFonts w:ascii="Verdana" w:hAnsi="Verdana"/>
              </w:rPr>
              <w:t>25</w:t>
            </w:r>
            <w:r w:rsidR="00F079AA" w:rsidRPr="2B71850E">
              <w:rPr>
                <w:rFonts w:ascii="Verdana" w:hAnsi="Verdana"/>
              </w:rPr>
              <w:t xml:space="preserve"> </w:t>
            </w:r>
            <w:r w:rsidRPr="2B71850E">
              <w:rPr>
                <w:rFonts w:ascii="Verdana" w:hAnsi="Verdana"/>
              </w:rPr>
              <w:t xml:space="preserve">percentage point deficits), people with disability (15-18 percentage point deficits), and employees below $80,000 (11-17 percentage point deficits) as experiencing the most </w:t>
            </w:r>
            <w:r w:rsidR="00897A3D">
              <w:rPr>
                <w:rFonts w:ascii="Verdana" w:hAnsi="Verdana"/>
              </w:rPr>
              <w:t>significant</w:t>
            </w:r>
            <w:r w:rsidR="00897A3D" w:rsidRPr="2B71850E">
              <w:rPr>
                <w:rFonts w:ascii="Verdana" w:hAnsi="Verdana"/>
              </w:rPr>
              <w:t xml:space="preserve"> </w:t>
            </w:r>
            <w:r w:rsidRPr="2B71850E">
              <w:rPr>
                <w:rFonts w:ascii="Verdana" w:hAnsi="Verdana"/>
              </w:rPr>
              <w:t>workplace disadvantage. These findings have directly shaped the targeting of the 2026-2030 GEAP.</w:t>
            </w:r>
          </w:p>
          <w:p w14:paraId="786B502C" w14:textId="5F0BB074" w:rsidR="00BE61C2" w:rsidRPr="002112CD" w:rsidRDefault="00BE61C2" w:rsidP="2B71850E">
            <w:pPr>
              <w:contextualSpacing/>
              <w:rPr>
                <w:rFonts w:ascii="Verdana" w:hAnsi="Verdana"/>
                <w:sz w:val="12"/>
                <w:szCs w:val="12"/>
              </w:rPr>
            </w:pPr>
          </w:p>
          <w:p w14:paraId="3400AEEC" w14:textId="32A3CE0D" w:rsidR="00BE61C2" w:rsidRPr="002112CD" w:rsidRDefault="7F9F3BD1" w:rsidP="2B71850E">
            <w:pPr>
              <w:contextualSpacing/>
              <w:rPr>
                <w:rFonts w:ascii="Verdana" w:hAnsi="Verdana"/>
              </w:rPr>
            </w:pPr>
            <w:r w:rsidRPr="2B71850E">
              <w:rPr>
                <w:rFonts w:ascii="Verdana" w:hAnsi="Verdana"/>
              </w:rPr>
              <w:t>Cultural change initiatives delivered measurable results: Pride Alliance established, pronoun pins distributed to 24% of staff, Pride, bi and trans flags installed, religious and cultural observances added to the organisational calendar, and disability employment and Deaf Awareness training delivered. Clinical Executive and multiple departmental teams completed intercultural competency training between 2022 and 2024. The proportion of employees identifying as not heterosexual increased by 10 percentage points, disclosure doubled for gender identities other than man or woman and for trans status, disability disclosure increased by 2 percentage points, and employees born outside Australia by 3 percentage points, suggesting improved psychological safety for disclosure.</w:t>
            </w:r>
          </w:p>
          <w:p w14:paraId="02A1733D" w14:textId="590D0685" w:rsidR="00BE61C2" w:rsidRPr="002112CD" w:rsidRDefault="00BE61C2" w:rsidP="2B71850E">
            <w:pPr>
              <w:contextualSpacing/>
              <w:rPr>
                <w:rFonts w:ascii="Verdana" w:hAnsi="Verdana"/>
              </w:rPr>
            </w:pPr>
          </w:p>
          <w:p w14:paraId="457FC4BB" w14:textId="18854FBF" w:rsidR="00BE61C2" w:rsidRPr="002112CD" w:rsidRDefault="7F9F3BD1" w:rsidP="2B71850E">
            <w:pPr>
              <w:contextualSpacing/>
            </w:pPr>
            <w:r w:rsidRPr="2B71850E">
              <w:rPr>
                <w:rFonts w:ascii="Verdana" w:hAnsi="Verdana"/>
                <w:b/>
                <w:bCs/>
              </w:rPr>
              <w:t xml:space="preserve">Challenges: </w:t>
            </w:r>
            <w:r w:rsidR="4F8D31B7" w:rsidRPr="2B71850E">
              <w:rPr>
                <w:rFonts w:ascii="Verdana" w:hAnsi="Verdana"/>
              </w:rPr>
              <w:t xml:space="preserve">Closing occupational segregation through compositional change is structurally constrained. Nursing is 88% women with </w:t>
            </w:r>
            <w:r w:rsidR="00A2619C">
              <w:rPr>
                <w:rFonts w:ascii="Verdana" w:hAnsi="Verdana"/>
              </w:rPr>
              <w:t>limited</w:t>
            </w:r>
            <w:r w:rsidR="00A2619C" w:rsidRPr="2B71850E">
              <w:rPr>
                <w:rFonts w:ascii="Verdana" w:hAnsi="Verdana"/>
              </w:rPr>
              <w:t xml:space="preserve"> </w:t>
            </w:r>
            <w:r w:rsidR="4F8D31B7" w:rsidRPr="2B71850E">
              <w:rPr>
                <w:rFonts w:ascii="Verdana" w:hAnsi="Verdana"/>
              </w:rPr>
              <w:t xml:space="preserve">male candidate pipeline nationally; medical specialists are 38% women with a </w:t>
            </w:r>
            <w:proofErr w:type="gramStart"/>
            <w:r w:rsidR="4F8D31B7" w:rsidRPr="2B71850E">
              <w:rPr>
                <w:rFonts w:ascii="Verdana" w:hAnsi="Verdana"/>
              </w:rPr>
              <w:t>10 to 15 year</w:t>
            </w:r>
            <w:proofErr w:type="gramEnd"/>
            <w:r w:rsidR="4F8D31B7" w:rsidRPr="2B71850E">
              <w:rPr>
                <w:rFonts w:ascii="Verdana" w:hAnsi="Verdana"/>
              </w:rPr>
              <w:t xml:space="preserve"> training pipeline beyond the Eye and Ear's control. The workforce of 1,096 means recruiting 10 to 20 people produces less than 2% statistical impact, and genuine equity work is often statistically invisible: promoting women from Level -7 nursing roles to Level -2 nurse manager positions represents meaningful career progression but produces no change in occupational group statistics.</w:t>
            </w:r>
          </w:p>
          <w:p w14:paraId="1D217DC1" w14:textId="6B05A287" w:rsidR="00BE61C2" w:rsidRPr="002112CD" w:rsidRDefault="00BE61C2" w:rsidP="2B71850E">
            <w:pPr>
              <w:contextualSpacing/>
              <w:rPr>
                <w:rFonts w:ascii="Verdana" w:hAnsi="Verdana"/>
                <w:sz w:val="12"/>
                <w:szCs w:val="12"/>
              </w:rPr>
            </w:pPr>
          </w:p>
          <w:p w14:paraId="11CC8D9C" w14:textId="2415FA87" w:rsidR="00BE61C2" w:rsidRPr="002112CD" w:rsidRDefault="7F9F3BD1" w:rsidP="2B71850E">
            <w:pPr>
              <w:contextualSpacing/>
            </w:pPr>
            <w:r w:rsidRPr="2B71850E">
              <w:rPr>
                <w:rFonts w:ascii="Verdana" w:hAnsi="Verdana"/>
              </w:rPr>
              <w:t xml:space="preserve">Cultural initiatives, while valuable, have been insufficient without structural change. LGBTQIA+ employees continue to experience the most notable workplace disadvantage of any demographic group measured, indicating that visible inclusion measures must be paired with structural interventions in workplace safety, career progression and management practices. Cultural identity and religion disclosure decreased by 6 and 2 percentage points respectively over the same period, warranting </w:t>
            </w:r>
            <w:r w:rsidR="00DF7FF5">
              <w:rPr>
                <w:rFonts w:ascii="Verdana" w:hAnsi="Verdana"/>
              </w:rPr>
              <w:t>a requirement to build trust for disclosure</w:t>
            </w:r>
            <w:r w:rsidR="00FB34CA">
              <w:rPr>
                <w:rFonts w:ascii="Verdana" w:hAnsi="Verdana"/>
              </w:rPr>
              <w:t xml:space="preserve"> and its intent.</w:t>
            </w:r>
          </w:p>
          <w:p w14:paraId="3CD7E4E1" w14:textId="6A7396AD" w:rsidR="00BE61C2" w:rsidRPr="002112CD" w:rsidRDefault="00BE61C2" w:rsidP="2B71850E">
            <w:pPr>
              <w:contextualSpacing/>
              <w:rPr>
                <w:rFonts w:ascii="Verdana" w:hAnsi="Verdana"/>
                <w:sz w:val="12"/>
                <w:szCs w:val="12"/>
              </w:rPr>
            </w:pPr>
          </w:p>
          <w:p w14:paraId="3ABD6405" w14:textId="218B1CA9" w:rsidR="00BE61C2" w:rsidRPr="002112CD" w:rsidRDefault="7F9F3BD1" w:rsidP="2B71850E">
            <w:pPr>
              <w:contextualSpacing/>
            </w:pPr>
            <w:r w:rsidRPr="2B71850E">
              <w:rPr>
                <w:rFonts w:ascii="Verdana" w:hAnsi="Verdana"/>
                <w:b/>
                <w:bCs/>
              </w:rPr>
              <w:t>Learnings</w:t>
            </w:r>
            <w:r w:rsidR="00BE61C2" w:rsidRPr="002112CD">
              <w:rPr>
                <w:rFonts w:ascii="Verdana" w:hAnsi="Verdana"/>
                <w:b/>
                <w:bCs/>
              </w:rPr>
              <w:t>:</w:t>
            </w:r>
            <w:r w:rsidR="00BE61C2" w:rsidRPr="2B71850E">
              <w:rPr>
                <w:rFonts w:ascii="Verdana" w:hAnsi="Verdana"/>
              </w:rPr>
              <w:t xml:space="preserve"> </w:t>
            </w:r>
            <w:r w:rsidR="00BE61C2" w:rsidRPr="002112CD">
              <w:rPr>
                <w:rFonts w:ascii="Verdana" w:hAnsi="Verdana"/>
              </w:rPr>
              <w:t>The seven Gender Equality Indicators do not translate effectively to feminised healthcare contexts</w:t>
            </w:r>
            <w:r w:rsidRPr="2B71850E">
              <w:rPr>
                <w:rFonts w:ascii="Verdana" w:hAnsi="Verdana"/>
              </w:rPr>
              <w:t xml:space="preserve"> where 64% of employees are women but concentrated in </w:t>
            </w:r>
            <w:r w:rsidR="00B4072D">
              <w:rPr>
                <w:rFonts w:ascii="Verdana" w:hAnsi="Verdana"/>
              </w:rPr>
              <w:t>lower paid</w:t>
            </w:r>
            <w:r w:rsidRPr="2B71850E">
              <w:rPr>
                <w:rFonts w:ascii="Verdana" w:hAnsi="Verdana"/>
              </w:rPr>
              <w:t xml:space="preserve"> occupations. For male-dominated industries, progress is appropriately measured by increasing women's representation. For feminised healthcare organisations, several metrics are inappropriate: occupational segregation metrics targeting numerical gender balance would </w:t>
            </w:r>
            <w:r w:rsidR="003310E8">
              <w:rPr>
                <w:rFonts w:ascii="Verdana" w:hAnsi="Verdana"/>
              </w:rPr>
              <w:t xml:space="preserve">not address the remuneration </w:t>
            </w:r>
            <w:proofErr w:type="gramStart"/>
            <w:r w:rsidR="003310E8">
              <w:rPr>
                <w:rFonts w:ascii="Verdana" w:hAnsi="Verdana"/>
              </w:rPr>
              <w:t>disparities</w:t>
            </w:r>
            <w:r w:rsidR="00C549BF">
              <w:rPr>
                <w:rFonts w:ascii="Verdana" w:hAnsi="Verdana"/>
              </w:rPr>
              <w:t>,</w:t>
            </w:r>
            <w:r w:rsidRPr="2B71850E">
              <w:rPr>
                <w:rFonts w:ascii="Verdana" w:hAnsi="Verdana"/>
              </w:rPr>
              <w:t xml:space="preserve"> and</w:t>
            </w:r>
            <w:proofErr w:type="gramEnd"/>
            <w:r w:rsidRPr="2B71850E">
              <w:rPr>
                <w:rFonts w:ascii="Verdana" w:hAnsi="Verdana"/>
              </w:rPr>
              <w:t xml:space="preserve"> pay gap metrics cannot account for segregation driven by entirely separate professional qualification pathways. The actual equity issues, the </w:t>
            </w:r>
            <w:r w:rsidR="00163C47">
              <w:rPr>
                <w:rFonts w:ascii="Verdana" w:hAnsi="Verdana"/>
              </w:rPr>
              <w:t>significant differences in pay between enterprise agreements,</w:t>
            </w:r>
            <w:r w:rsidRPr="2B71850E">
              <w:rPr>
                <w:rFonts w:ascii="Verdana" w:hAnsi="Verdana"/>
              </w:rPr>
              <w:t xml:space="preserve"> and </w:t>
            </w:r>
            <w:r w:rsidR="003550E7">
              <w:rPr>
                <w:rFonts w:ascii="Verdana" w:hAnsi="Verdana"/>
              </w:rPr>
              <w:t>undocumented</w:t>
            </w:r>
            <w:r w:rsidRPr="2B71850E">
              <w:rPr>
                <w:rFonts w:ascii="Verdana" w:hAnsi="Verdana"/>
              </w:rPr>
              <w:t xml:space="preserve"> career progression pathways from nursing to executive leadership, are largely invisible in the standard indicator framework.</w:t>
            </w:r>
          </w:p>
          <w:p w14:paraId="1D745BD1" w14:textId="322D0D8E" w:rsidR="00BE61C2" w:rsidRPr="002112CD" w:rsidRDefault="00BE61C2" w:rsidP="2B71850E">
            <w:pPr>
              <w:contextualSpacing/>
              <w:rPr>
                <w:rFonts w:ascii="Verdana" w:hAnsi="Verdana"/>
                <w:sz w:val="12"/>
                <w:szCs w:val="12"/>
              </w:rPr>
            </w:pPr>
          </w:p>
          <w:p w14:paraId="32837053" w14:textId="101FFB76" w:rsidR="00BE61C2" w:rsidRPr="002112CD" w:rsidRDefault="7F9F3BD1" w:rsidP="2B71850E">
            <w:pPr>
              <w:spacing w:line="259" w:lineRule="auto"/>
            </w:pPr>
            <w:r w:rsidRPr="2B71850E">
              <w:rPr>
                <w:rFonts w:ascii="Verdana" w:hAnsi="Verdana"/>
              </w:rPr>
              <w:t xml:space="preserve">This learning is reinforced by the GEAP </w:t>
            </w:r>
            <w:r w:rsidR="5DB40312" w:rsidRPr="2B71850E">
              <w:rPr>
                <w:rFonts w:ascii="Verdana" w:hAnsi="Verdana"/>
              </w:rPr>
              <w:t>completion rate</w:t>
            </w:r>
            <w:r w:rsidRPr="2B71850E">
              <w:rPr>
                <w:rFonts w:ascii="Verdana" w:hAnsi="Verdana"/>
              </w:rPr>
              <w:t>. Three actions were assessed as having unrealistic targets, and two Indicator 7 actions were cancelled, not because the organisation lacked commitment, but because the</w:t>
            </w:r>
            <w:r w:rsidR="00617161">
              <w:rPr>
                <w:rFonts w:ascii="Verdana" w:hAnsi="Verdana"/>
              </w:rPr>
              <w:t>y were impractical or</w:t>
            </w:r>
            <w:r w:rsidR="00F44E5C">
              <w:rPr>
                <w:rFonts w:ascii="Verdana" w:hAnsi="Verdana"/>
              </w:rPr>
              <w:t xml:space="preserve"> the</w:t>
            </w:r>
            <w:r w:rsidRPr="2B71850E">
              <w:rPr>
                <w:rFonts w:ascii="Verdana" w:hAnsi="Verdana"/>
              </w:rPr>
              <w:t xml:space="preserve"> targets were designed for workforce contexts fundamentally different from the Eye and Ear's.</w:t>
            </w:r>
            <w:r w:rsidR="00BE61C2" w:rsidRPr="002112CD">
              <w:rPr>
                <w:rFonts w:ascii="Verdana" w:hAnsi="Verdana"/>
              </w:rPr>
              <w:t xml:space="preserve"> Progress for</w:t>
            </w:r>
            <w:r w:rsidR="007A57AB">
              <w:rPr>
                <w:rFonts w:ascii="Verdana" w:hAnsi="Verdana"/>
              </w:rPr>
              <w:t xml:space="preserve"> </w:t>
            </w:r>
            <w:r w:rsidRPr="2B71850E">
              <w:rPr>
                <w:rFonts w:ascii="Verdana" w:hAnsi="Verdana"/>
              </w:rPr>
              <w:t>feminised healthcare workforces</w:t>
            </w:r>
            <w:r w:rsidR="00BE61C2" w:rsidRPr="002112CD">
              <w:rPr>
                <w:rFonts w:ascii="Verdana" w:hAnsi="Verdana"/>
              </w:rPr>
              <w:t xml:space="preserve"> should be measured by improvements in workplace </w:t>
            </w:r>
            <w:r w:rsidR="00BE61C2" w:rsidRPr="002112CD">
              <w:rPr>
                <w:rFonts w:ascii="Verdana" w:hAnsi="Verdana"/>
              </w:rPr>
              <w:lastRenderedPageBreak/>
              <w:t xml:space="preserve">culture </w:t>
            </w:r>
            <w:r w:rsidRPr="2B71850E">
              <w:rPr>
                <w:rFonts w:ascii="Verdana" w:hAnsi="Verdana"/>
              </w:rPr>
              <w:t xml:space="preserve">and inclusion </w:t>
            </w:r>
            <w:r w:rsidR="00BE61C2" w:rsidRPr="002112CD">
              <w:rPr>
                <w:rFonts w:ascii="Verdana" w:hAnsi="Verdana"/>
              </w:rPr>
              <w:t xml:space="preserve">for marginalised groups, strengthened employment security in feminised roles, </w:t>
            </w:r>
            <w:r w:rsidRPr="2B71850E">
              <w:rPr>
                <w:rFonts w:ascii="Verdana" w:hAnsi="Verdana"/>
              </w:rPr>
              <w:t xml:space="preserve">expanded </w:t>
            </w:r>
            <w:r w:rsidR="00BE61C2" w:rsidRPr="002112CD">
              <w:rPr>
                <w:rFonts w:ascii="Verdana" w:hAnsi="Verdana"/>
              </w:rPr>
              <w:t xml:space="preserve">career progression </w:t>
            </w:r>
            <w:r w:rsidRPr="2B71850E">
              <w:rPr>
                <w:rFonts w:ascii="Verdana" w:hAnsi="Verdana"/>
              </w:rPr>
              <w:t xml:space="preserve">opportunities </w:t>
            </w:r>
            <w:r w:rsidR="00BE61C2" w:rsidRPr="002112CD">
              <w:rPr>
                <w:rFonts w:ascii="Verdana" w:hAnsi="Verdana"/>
              </w:rPr>
              <w:t xml:space="preserve">within nursing and allied health, and </w:t>
            </w:r>
            <w:r w:rsidRPr="2B71850E">
              <w:rPr>
                <w:rFonts w:ascii="Verdana" w:hAnsi="Verdana"/>
              </w:rPr>
              <w:t xml:space="preserve">transparent and </w:t>
            </w:r>
            <w:r w:rsidR="00BE61C2" w:rsidRPr="002112CD">
              <w:rPr>
                <w:rFonts w:ascii="Verdana" w:hAnsi="Verdana"/>
              </w:rPr>
              <w:t xml:space="preserve">equitable people management practices. </w:t>
            </w:r>
            <w:r w:rsidR="007A57AB">
              <w:rPr>
                <w:rFonts w:ascii="Verdana" w:hAnsi="Verdana"/>
              </w:rPr>
              <w:t xml:space="preserve">The </w:t>
            </w:r>
            <w:r w:rsidR="00BE61C2" w:rsidRPr="002112CD">
              <w:rPr>
                <w:rFonts w:ascii="Verdana" w:hAnsi="Verdana"/>
              </w:rPr>
              <w:t xml:space="preserve">Eye and </w:t>
            </w:r>
            <w:r w:rsidRPr="2B71850E">
              <w:rPr>
                <w:rFonts w:ascii="Verdana" w:hAnsi="Verdana"/>
              </w:rPr>
              <w:t>Ear's</w:t>
            </w:r>
            <w:r w:rsidR="00BE61C2" w:rsidRPr="002112CD">
              <w:rPr>
                <w:rFonts w:ascii="Verdana" w:hAnsi="Verdana"/>
              </w:rPr>
              <w:t xml:space="preserve"> 2026</w:t>
            </w:r>
            <w:r w:rsidRPr="2B71850E">
              <w:rPr>
                <w:rFonts w:ascii="Verdana" w:hAnsi="Verdana"/>
              </w:rPr>
              <w:t>-</w:t>
            </w:r>
            <w:r w:rsidR="00BE61C2" w:rsidRPr="002112CD">
              <w:rPr>
                <w:rFonts w:ascii="Verdana" w:hAnsi="Verdana"/>
              </w:rPr>
              <w:t>2030 GEAP adopts these measures.</w:t>
            </w:r>
          </w:p>
          <w:p w14:paraId="1821119A" w14:textId="4DE7968C" w:rsidR="00BE61C2" w:rsidRPr="002112CD" w:rsidRDefault="00BE61C2" w:rsidP="00067795">
            <w:pPr>
              <w:contextualSpacing/>
              <w:rPr>
                <w:rFonts w:ascii="Verdana" w:hAnsi="Verdana"/>
              </w:rPr>
            </w:pPr>
          </w:p>
        </w:tc>
      </w:tr>
      <w:tr w:rsidR="00BE61C2" w:rsidRPr="002112CD" w14:paraId="783CCB09" w14:textId="77777777" w:rsidTr="00734764">
        <w:tc>
          <w:tcPr>
            <w:tcW w:w="5000" w:type="pct"/>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51ADDEF5" w14:textId="77777777" w:rsidR="00BE61C2" w:rsidRPr="002112CD" w:rsidRDefault="00BE61C2" w:rsidP="00067795">
            <w:pPr>
              <w:contextualSpacing/>
              <w:rPr>
                <w:rFonts w:ascii="Verdana" w:hAnsi="Verdana"/>
              </w:rPr>
            </w:pPr>
            <w:r w:rsidRPr="002112CD">
              <w:rPr>
                <w:rFonts w:ascii="Verdana" w:hAnsi="Verdana"/>
                <w:b/>
                <w:bCs/>
              </w:rPr>
              <w:lastRenderedPageBreak/>
              <w:t>Section 3.3: Other Updates on Implementation (recommended)</w:t>
            </w:r>
          </w:p>
          <w:p w14:paraId="164F38A5" w14:textId="77777777" w:rsidR="00BE61C2" w:rsidRPr="002112CD" w:rsidRDefault="00BE61C2" w:rsidP="00067795">
            <w:pPr>
              <w:contextualSpacing/>
              <w:rPr>
                <w:rFonts w:ascii="Verdana" w:hAnsi="Verdana"/>
              </w:rPr>
            </w:pPr>
            <w:r w:rsidRPr="002112CD">
              <w:rPr>
                <w:rFonts w:ascii="Verdana" w:hAnsi="Verdana"/>
                <w:i/>
                <w:iCs/>
                <w:color w:val="666666"/>
                <w:sz w:val="18"/>
                <w:szCs w:val="18"/>
              </w:rPr>
              <w:t>Provide any other updates on your GEAP implementation.</w:t>
            </w:r>
          </w:p>
        </w:tc>
      </w:tr>
      <w:tr w:rsidR="00BE61C2" w:rsidRPr="002112CD" w14:paraId="07A50A9F" w14:textId="77777777" w:rsidTr="00734764">
        <w:tc>
          <w:tcPr>
            <w:tcW w:w="5000"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280DC4" w14:textId="78B4B128" w:rsidR="00BE61C2" w:rsidRPr="002112CD" w:rsidRDefault="00BE61C2" w:rsidP="005473DE">
            <w:pPr>
              <w:contextualSpacing/>
              <w:rPr>
                <w:rFonts w:ascii="Verdana" w:hAnsi="Verdana"/>
              </w:rPr>
            </w:pPr>
          </w:p>
        </w:tc>
      </w:tr>
    </w:tbl>
    <w:p w14:paraId="01BABBC5" w14:textId="57BD0A10" w:rsidR="00EC4CCC" w:rsidRDefault="00EC4C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96"/>
      </w:tblGrid>
      <w:tr w:rsidR="00BE61C2" w:rsidRPr="002112CD" w14:paraId="16565053" w14:textId="77777777" w:rsidTr="00734764">
        <w:tc>
          <w:tcPr>
            <w:tcW w:w="5000" w:type="pct"/>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6195373F" w14:textId="77777777" w:rsidR="00BE61C2" w:rsidRPr="002112CD" w:rsidRDefault="00BE61C2" w:rsidP="00067795">
            <w:pPr>
              <w:contextualSpacing/>
              <w:rPr>
                <w:rFonts w:ascii="Verdana" w:hAnsi="Verdana"/>
              </w:rPr>
            </w:pPr>
            <w:r w:rsidRPr="002112CD">
              <w:rPr>
                <w:rFonts w:ascii="Verdana" w:hAnsi="Verdana"/>
                <w:b/>
                <w:bCs/>
              </w:rPr>
              <w:t>Section 3.4: Resourcing Allocation (required)</w:t>
            </w:r>
          </w:p>
          <w:p w14:paraId="347562A6" w14:textId="77777777" w:rsidR="00BE61C2" w:rsidRPr="002112CD" w:rsidRDefault="00BE61C2" w:rsidP="00067795">
            <w:pPr>
              <w:contextualSpacing/>
              <w:rPr>
                <w:rFonts w:ascii="Verdana" w:hAnsi="Verdana"/>
              </w:rPr>
            </w:pPr>
            <w:r w:rsidRPr="002112CD">
              <w:rPr>
                <w:rFonts w:ascii="Verdana" w:hAnsi="Verdana"/>
                <w:i/>
                <w:iCs/>
                <w:color w:val="666666"/>
                <w:sz w:val="18"/>
                <w:szCs w:val="18"/>
              </w:rPr>
              <w:t>Describe your organisation’s resource allocation to implement your GEAP strategies.</w:t>
            </w:r>
          </w:p>
        </w:tc>
      </w:tr>
      <w:tr w:rsidR="00BE61C2" w:rsidRPr="002112CD" w14:paraId="25E4CDFC" w14:textId="77777777" w:rsidTr="00F93BDA">
        <w:trPr>
          <w:trHeight w:val="978"/>
        </w:trPr>
        <w:tc>
          <w:tcPr>
            <w:tcW w:w="5000"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328CBBB" w14:textId="77777777" w:rsidR="009F5ABE" w:rsidRDefault="009F5ABE" w:rsidP="009F5ABE">
            <w:pPr>
              <w:contextualSpacing/>
              <w:rPr>
                <w:rFonts w:ascii="Verdana" w:hAnsi="Verdana"/>
              </w:rPr>
            </w:pPr>
            <w:r w:rsidRPr="009F5ABE">
              <w:rPr>
                <w:rFonts w:ascii="Verdana" w:hAnsi="Verdana"/>
              </w:rPr>
              <w:t xml:space="preserve">The Eye and Ear established a dedicated Equity and Inclusion Coordinator position (1.0 FTE) to lead GEAP implementation across the organisation, reporting to the Executive Director of People and Communication, who serves as Executive sponsor for GEAP implementation. The </w:t>
            </w:r>
            <w:proofErr w:type="gramStart"/>
            <w:r w:rsidRPr="009F5ABE">
              <w:rPr>
                <w:rFonts w:ascii="Verdana" w:hAnsi="Verdana"/>
              </w:rPr>
              <w:t>Coordinator</w:t>
            </w:r>
            <w:proofErr w:type="gramEnd"/>
            <w:r w:rsidRPr="009F5ABE">
              <w:rPr>
                <w:rFonts w:ascii="Verdana" w:hAnsi="Verdana"/>
              </w:rPr>
              <w:t xml:space="preserve"> was responsible for driving action completion, coordinating across divisions, supporting data collection and analysis, and reporting progress to the Executive and Board. This position was vacated in April 2024 and remained unfilled for seven months until November 2024, when the Organisation Development Lead commenced. Gender equality and diversity, equity and inclusion work forms one component of this broader role rather than a dedicated function.</w:t>
            </w:r>
          </w:p>
          <w:p w14:paraId="4073CF3A" w14:textId="77777777" w:rsidR="00EC4CCC" w:rsidRPr="009F5ABE" w:rsidRDefault="00EC4CCC" w:rsidP="009F5ABE">
            <w:pPr>
              <w:contextualSpacing/>
              <w:rPr>
                <w:rFonts w:ascii="Verdana" w:hAnsi="Verdana"/>
              </w:rPr>
            </w:pPr>
          </w:p>
          <w:p w14:paraId="7F1CA703" w14:textId="1320FDFA" w:rsidR="009F5ABE" w:rsidRDefault="009F5ABE" w:rsidP="009F5ABE">
            <w:pPr>
              <w:contextualSpacing/>
              <w:rPr>
                <w:rFonts w:ascii="Verdana" w:hAnsi="Verdana"/>
              </w:rPr>
            </w:pPr>
            <w:r w:rsidRPr="009F5ABE">
              <w:rPr>
                <w:rFonts w:ascii="Verdana" w:hAnsi="Verdana"/>
              </w:rPr>
              <w:t>The seven-month vacancy during a critical implementation period contributed to delays across multiple action streams. However, the Eye and Ear's investment in occupational group analytical frameworks and streamlined reporting during this GEAP period means that ongoing gender equality analysis and reporting will be less resource-intensive going forward. The four occupational group structure (</w:t>
            </w:r>
            <w:r w:rsidR="00040762">
              <w:rPr>
                <w:rFonts w:ascii="Verdana" w:hAnsi="Verdana"/>
              </w:rPr>
              <w:t>Allied Health</w:t>
            </w:r>
            <w:r w:rsidRPr="009F5ABE">
              <w:rPr>
                <w:rFonts w:ascii="Verdana" w:hAnsi="Verdana"/>
              </w:rPr>
              <w:t>, Medical, Nursing, Non-Clinical) provides a reusable framework for workforce analysis, and the intersectional analysis methodology developed during 2025 can be applied efficiently to future PMS data without requiring the foundational analytical work repeated each cycle.</w:t>
            </w:r>
          </w:p>
          <w:p w14:paraId="4D62AEC3" w14:textId="77777777" w:rsidR="009903F8" w:rsidRPr="009F5ABE" w:rsidRDefault="009903F8" w:rsidP="009F5ABE">
            <w:pPr>
              <w:contextualSpacing/>
              <w:rPr>
                <w:rFonts w:ascii="Verdana" w:hAnsi="Verdana"/>
              </w:rPr>
            </w:pPr>
          </w:p>
          <w:p w14:paraId="09401574" w14:textId="77777777" w:rsidR="009F5ABE" w:rsidRDefault="009F5ABE" w:rsidP="009F5ABE">
            <w:pPr>
              <w:contextualSpacing/>
              <w:rPr>
                <w:rFonts w:ascii="Verdana" w:hAnsi="Verdana"/>
              </w:rPr>
            </w:pPr>
            <w:r w:rsidRPr="009F5ABE">
              <w:rPr>
                <w:rFonts w:ascii="Verdana" w:hAnsi="Verdana"/>
              </w:rPr>
              <w:t>Funding over four years (2022–2025) was approved to implement training programs, cultural change initiatives, and system upgrades required for data collection and reporting. This funding supported intercultural training and unconscious bias education for leadership and employees, Peer Support Officer training and coordination, disability employment and Deaf Awareness training, the People Hub HRIS implementation (systems infrastructure for intersectional data collection), development of educational resources and communication materials, and cultural celebration initiatives including Pride flags, pronoun pins, the Pride Alliance, and religious and cultural calendar additions.</w:t>
            </w:r>
          </w:p>
          <w:p w14:paraId="7A761C55" w14:textId="77777777" w:rsidR="001B5598" w:rsidRPr="009F5ABE" w:rsidRDefault="001B5598" w:rsidP="009F5ABE">
            <w:pPr>
              <w:contextualSpacing/>
              <w:rPr>
                <w:rFonts w:ascii="Verdana" w:hAnsi="Verdana"/>
              </w:rPr>
            </w:pPr>
          </w:p>
          <w:p w14:paraId="7A83C440" w14:textId="77777777" w:rsidR="009F5ABE" w:rsidRDefault="009F5ABE" w:rsidP="009F5ABE">
            <w:pPr>
              <w:contextualSpacing/>
              <w:rPr>
                <w:rFonts w:ascii="Verdana" w:hAnsi="Verdana"/>
              </w:rPr>
            </w:pPr>
            <w:r w:rsidRPr="009F5ABE">
              <w:rPr>
                <w:rFonts w:ascii="Verdana" w:hAnsi="Verdana"/>
              </w:rPr>
              <w:t>The delayed People Hub HRIS system consumed resourcing that had been allocated to actions dependent on that infrastructure. This demonstrates that adequate resourcing alone is insufficient when system dependencies create barriers beyond organisational control.</w:t>
            </w:r>
          </w:p>
          <w:p w14:paraId="074CC909" w14:textId="77777777" w:rsidR="001B5598" w:rsidRPr="009F5ABE" w:rsidRDefault="001B5598" w:rsidP="009F5ABE">
            <w:pPr>
              <w:contextualSpacing/>
              <w:rPr>
                <w:rFonts w:ascii="Verdana" w:hAnsi="Verdana"/>
              </w:rPr>
            </w:pPr>
          </w:p>
          <w:p w14:paraId="2C0CC589" w14:textId="77777777" w:rsidR="009F5ABE" w:rsidRDefault="009F5ABE" w:rsidP="009F5ABE">
            <w:pPr>
              <w:contextualSpacing/>
              <w:rPr>
                <w:rFonts w:ascii="Verdana" w:hAnsi="Verdana"/>
              </w:rPr>
            </w:pPr>
            <w:r w:rsidRPr="009F5ABE">
              <w:rPr>
                <w:rFonts w:ascii="Verdana" w:hAnsi="Verdana"/>
              </w:rPr>
              <w:t>The Eye and Ear's 2026–2030 GEAP is resourced at 0.4 FTE ($51,809 annually, $64,761 including on-costs), based on an Organisational Development Lead salary of $129,522), embedded within the Organisational Development Lead role, with approximately $40,500 annually in implementation funding: $3,000 for targeted activities, $8,500 for leadership development, and $29,000 for ongoing learning and development including sexual harassment prevention, respectful workplace behaviours, and equal opportunity unit compliance modules. The combined annual investment of approximately $92,309 represents a considered reduction from the previous GEAP period.</w:t>
            </w:r>
          </w:p>
          <w:p w14:paraId="53C2A3FD" w14:textId="77777777" w:rsidR="001B5598" w:rsidRPr="009F5ABE" w:rsidRDefault="001B5598" w:rsidP="009F5ABE">
            <w:pPr>
              <w:contextualSpacing/>
              <w:rPr>
                <w:rFonts w:ascii="Verdana" w:hAnsi="Verdana"/>
              </w:rPr>
            </w:pPr>
          </w:p>
          <w:p w14:paraId="0102DD09" w14:textId="77777777" w:rsidR="009F5ABE" w:rsidRDefault="009F5ABE" w:rsidP="009F5ABE">
            <w:pPr>
              <w:contextualSpacing/>
              <w:rPr>
                <w:rFonts w:ascii="Verdana" w:hAnsi="Verdana"/>
              </w:rPr>
            </w:pPr>
            <w:r w:rsidRPr="009F5ABE">
              <w:rPr>
                <w:rFonts w:ascii="Verdana" w:hAnsi="Verdana"/>
              </w:rPr>
              <w:t>This reflects a deliberate shift from the resourcing model of the 2022–2025 GEAP. The previous period required substantial investment in foundational capability: building analytical frameworks, establishing baseline data, developing intersectional analysis methods, and delivering broad-scale cultural change initiatives. That investment has produced a significantly deeper understanding of how gender inequality operates within the Eye and Ear's specific healthcare context, where the structural barriers sit, and which interventions are within organisational control. With those foundations in place, GEAP implementation can be embedded as core business within existing people and culture functions rather than resourced as a standalone program.</w:t>
            </w:r>
          </w:p>
          <w:p w14:paraId="5C850FCE" w14:textId="77777777" w:rsidR="001B5598" w:rsidRPr="009F5ABE" w:rsidRDefault="001B5598" w:rsidP="009F5ABE">
            <w:pPr>
              <w:contextualSpacing/>
              <w:rPr>
                <w:rFonts w:ascii="Verdana" w:hAnsi="Verdana"/>
              </w:rPr>
            </w:pPr>
          </w:p>
          <w:p w14:paraId="244FD681" w14:textId="5CE6A030" w:rsidR="00BE61C2" w:rsidRPr="002112CD" w:rsidRDefault="009F5ABE" w:rsidP="00067795">
            <w:pPr>
              <w:contextualSpacing/>
              <w:rPr>
                <w:rFonts w:ascii="Verdana" w:hAnsi="Verdana"/>
              </w:rPr>
            </w:pPr>
            <w:r w:rsidRPr="009F5ABE">
              <w:rPr>
                <w:rFonts w:ascii="Verdana" w:hAnsi="Verdana"/>
              </w:rPr>
              <w:t>To support implementation across the organisation, the Eye and Ear will establish a cross-functional GEAP working group comprising one to two representatives from each occupational group, drawn from a mix of levels and reflecting the diversity of the workforce. This group will provide ongoing consultation, sense-checking proposed interventions against the operational realities and lived experience of employees in different roles. Participation will be recognised as a leadership development opportunity, building internal capability for equity work while ensuring that actions are designed with, not just for, the people they are intended to benefit.</w:t>
            </w:r>
          </w:p>
        </w:tc>
      </w:tr>
    </w:tbl>
    <w:p w14:paraId="324D46BF" w14:textId="586DA699" w:rsidR="00E5091C" w:rsidRPr="002112CD" w:rsidRDefault="00E5091C" w:rsidP="00EC4CCC">
      <w:pPr>
        <w:pStyle w:val="Heading2"/>
        <w:spacing w:before="0" w:after="0"/>
        <w:contextualSpacing/>
        <w:rPr>
          <w:rFonts w:ascii="Verdana" w:hAnsi="Verdana"/>
        </w:rPr>
      </w:pPr>
    </w:p>
    <w:sectPr w:rsidR="00E5091C" w:rsidRPr="002112CD" w:rsidSect="00A61887">
      <w:headerReference w:type="default" r:id="rId7"/>
      <w:footerReference w:type="default" r:id="rId8"/>
      <w:pgSz w:w="16838" w:h="11906" w:orient="landscape"/>
      <w:pgMar w:top="720" w:right="720" w:bottom="720" w:left="720" w:header="708"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3A44" w14:textId="77777777" w:rsidR="00921007" w:rsidRDefault="00921007" w:rsidP="003C6937">
      <w:r>
        <w:separator/>
      </w:r>
    </w:p>
  </w:endnote>
  <w:endnote w:type="continuationSeparator" w:id="0">
    <w:p w14:paraId="79ADC9E3" w14:textId="77777777" w:rsidR="00921007" w:rsidRDefault="00921007" w:rsidP="003C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45559"/>
      <w:docPartObj>
        <w:docPartGallery w:val="Page Numbers (Bottom of Page)"/>
        <w:docPartUnique/>
      </w:docPartObj>
    </w:sdtPr>
    <w:sdtEndPr/>
    <w:sdtContent>
      <w:sdt>
        <w:sdtPr>
          <w:id w:val="1728636285"/>
          <w:docPartObj>
            <w:docPartGallery w:val="Page Numbers (Top of Page)"/>
            <w:docPartUnique/>
          </w:docPartObj>
        </w:sdtPr>
        <w:sdtEndPr/>
        <w:sdtContent>
          <w:p w14:paraId="3EBCE188" w14:textId="27EBF81D" w:rsidR="003C6937" w:rsidRDefault="003C6937">
            <w:pPr>
              <w:pStyle w:val="Footer"/>
              <w:jc w:val="center"/>
            </w:pPr>
            <w:r w:rsidRPr="003C6937">
              <w:rPr>
                <w:rFonts w:asciiTheme="minorHAnsi" w:hAnsiTheme="minorHAnsi"/>
                <w:sz w:val="18"/>
                <w:szCs w:val="18"/>
              </w:rPr>
              <w:t xml:space="preserve">Page </w:t>
            </w:r>
            <w:r w:rsidRPr="003C6937">
              <w:rPr>
                <w:rFonts w:asciiTheme="minorHAnsi" w:hAnsiTheme="minorHAnsi"/>
                <w:b/>
                <w:bCs/>
                <w:sz w:val="18"/>
                <w:szCs w:val="18"/>
              </w:rPr>
              <w:fldChar w:fldCharType="begin"/>
            </w:r>
            <w:r w:rsidRPr="003C6937">
              <w:rPr>
                <w:rFonts w:asciiTheme="minorHAnsi" w:hAnsiTheme="minorHAnsi"/>
                <w:b/>
                <w:bCs/>
                <w:sz w:val="18"/>
                <w:szCs w:val="18"/>
              </w:rPr>
              <w:instrText xml:space="preserve"> PAGE </w:instrText>
            </w:r>
            <w:r w:rsidRPr="003C6937">
              <w:rPr>
                <w:rFonts w:asciiTheme="minorHAnsi" w:hAnsiTheme="minorHAnsi"/>
                <w:b/>
                <w:bCs/>
                <w:sz w:val="18"/>
                <w:szCs w:val="18"/>
              </w:rPr>
              <w:fldChar w:fldCharType="separate"/>
            </w:r>
            <w:r w:rsidRPr="003C6937">
              <w:rPr>
                <w:rFonts w:asciiTheme="minorHAnsi" w:hAnsiTheme="minorHAnsi"/>
                <w:b/>
                <w:bCs/>
                <w:noProof/>
                <w:sz w:val="18"/>
                <w:szCs w:val="18"/>
              </w:rPr>
              <w:t>2</w:t>
            </w:r>
            <w:r w:rsidRPr="003C6937">
              <w:rPr>
                <w:rFonts w:asciiTheme="minorHAnsi" w:hAnsiTheme="minorHAnsi"/>
                <w:b/>
                <w:bCs/>
                <w:sz w:val="18"/>
                <w:szCs w:val="18"/>
              </w:rPr>
              <w:fldChar w:fldCharType="end"/>
            </w:r>
            <w:r w:rsidRPr="003C6937">
              <w:rPr>
                <w:rFonts w:asciiTheme="minorHAnsi" w:hAnsiTheme="minorHAnsi"/>
                <w:sz w:val="18"/>
                <w:szCs w:val="18"/>
              </w:rPr>
              <w:t xml:space="preserve"> of </w:t>
            </w:r>
            <w:r w:rsidRPr="003C6937">
              <w:rPr>
                <w:rFonts w:asciiTheme="minorHAnsi" w:hAnsiTheme="minorHAnsi"/>
                <w:b/>
                <w:bCs/>
                <w:sz w:val="18"/>
                <w:szCs w:val="18"/>
              </w:rPr>
              <w:fldChar w:fldCharType="begin"/>
            </w:r>
            <w:r w:rsidRPr="003C6937">
              <w:rPr>
                <w:rFonts w:asciiTheme="minorHAnsi" w:hAnsiTheme="minorHAnsi"/>
                <w:b/>
                <w:bCs/>
                <w:sz w:val="18"/>
                <w:szCs w:val="18"/>
              </w:rPr>
              <w:instrText xml:space="preserve"> NUMPAGES  </w:instrText>
            </w:r>
            <w:r w:rsidRPr="003C6937">
              <w:rPr>
                <w:rFonts w:asciiTheme="minorHAnsi" w:hAnsiTheme="minorHAnsi"/>
                <w:b/>
                <w:bCs/>
                <w:sz w:val="18"/>
                <w:szCs w:val="18"/>
              </w:rPr>
              <w:fldChar w:fldCharType="separate"/>
            </w:r>
            <w:r w:rsidRPr="003C6937">
              <w:rPr>
                <w:rFonts w:asciiTheme="minorHAnsi" w:hAnsiTheme="minorHAnsi"/>
                <w:b/>
                <w:bCs/>
                <w:noProof/>
                <w:sz w:val="18"/>
                <w:szCs w:val="18"/>
              </w:rPr>
              <w:t>2</w:t>
            </w:r>
            <w:r w:rsidRPr="003C6937">
              <w:rPr>
                <w:rFonts w:asciiTheme="minorHAnsi" w:hAnsiTheme="minorHAnsi"/>
                <w:b/>
                <w:bCs/>
                <w:sz w:val="18"/>
                <w:szCs w:val="18"/>
              </w:rPr>
              <w:fldChar w:fldCharType="end"/>
            </w:r>
          </w:p>
        </w:sdtContent>
      </w:sdt>
    </w:sdtContent>
  </w:sdt>
  <w:p w14:paraId="45405E29" w14:textId="77777777" w:rsidR="003C6937" w:rsidRDefault="003C6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9315" w14:textId="77777777" w:rsidR="00921007" w:rsidRDefault="00921007" w:rsidP="003C6937">
      <w:r>
        <w:separator/>
      </w:r>
    </w:p>
  </w:footnote>
  <w:footnote w:type="continuationSeparator" w:id="0">
    <w:p w14:paraId="72459AF3" w14:textId="77777777" w:rsidR="00921007" w:rsidRDefault="00921007" w:rsidP="003C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807469"/>
      <w:docPartObj>
        <w:docPartGallery w:val="Watermarks"/>
        <w:docPartUnique/>
      </w:docPartObj>
    </w:sdtPr>
    <w:sdtEndPr/>
    <w:sdtContent>
      <w:p w14:paraId="2171CC2C" w14:textId="32F0925D" w:rsidR="003C6937" w:rsidRDefault="00921007">
        <w:pPr>
          <w:pStyle w:val="Header"/>
        </w:pPr>
        <w:r>
          <w:rPr>
            <w:noProof/>
          </w:rPr>
          <w:pict w14:anchorId="0329E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11492"/>
    <w:multiLevelType w:val="hybridMultilevel"/>
    <w:tmpl w:val="ADDAF08A"/>
    <w:lvl w:ilvl="0" w:tplc="A2123C5C">
      <w:start w:val="1"/>
      <w:numFmt w:val="bullet"/>
      <w:lvlText w:val="●"/>
      <w:lvlJc w:val="left"/>
      <w:pPr>
        <w:ind w:left="720" w:hanging="360"/>
      </w:pPr>
    </w:lvl>
    <w:lvl w:ilvl="1" w:tplc="09429616">
      <w:start w:val="1"/>
      <w:numFmt w:val="bullet"/>
      <w:lvlText w:val="○"/>
      <w:lvlJc w:val="left"/>
      <w:pPr>
        <w:ind w:left="1440" w:hanging="360"/>
      </w:pPr>
    </w:lvl>
    <w:lvl w:ilvl="2" w:tplc="34AC293C">
      <w:start w:val="1"/>
      <w:numFmt w:val="bullet"/>
      <w:lvlText w:val="■"/>
      <w:lvlJc w:val="left"/>
      <w:pPr>
        <w:ind w:left="2160" w:hanging="360"/>
      </w:pPr>
    </w:lvl>
    <w:lvl w:ilvl="3" w:tplc="5E5440E8">
      <w:start w:val="1"/>
      <w:numFmt w:val="bullet"/>
      <w:lvlText w:val="●"/>
      <w:lvlJc w:val="left"/>
      <w:pPr>
        <w:ind w:left="2880" w:hanging="360"/>
      </w:pPr>
    </w:lvl>
    <w:lvl w:ilvl="4" w:tplc="650E5C8A">
      <w:start w:val="1"/>
      <w:numFmt w:val="bullet"/>
      <w:lvlText w:val="○"/>
      <w:lvlJc w:val="left"/>
      <w:pPr>
        <w:ind w:left="3600" w:hanging="360"/>
      </w:pPr>
    </w:lvl>
    <w:lvl w:ilvl="5" w:tplc="786C5AC8">
      <w:start w:val="1"/>
      <w:numFmt w:val="bullet"/>
      <w:lvlText w:val="■"/>
      <w:lvlJc w:val="left"/>
      <w:pPr>
        <w:ind w:left="4320" w:hanging="360"/>
      </w:pPr>
    </w:lvl>
    <w:lvl w:ilvl="6" w:tplc="365CB516">
      <w:start w:val="1"/>
      <w:numFmt w:val="bullet"/>
      <w:lvlText w:val="●"/>
      <w:lvlJc w:val="left"/>
      <w:pPr>
        <w:ind w:left="5040" w:hanging="360"/>
      </w:pPr>
    </w:lvl>
    <w:lvl w:ilvl="7" w:tplc="A13AA8B4">
      <w:start w:val="1"/>
      <w:numFmt w:val="bullet"/>
      <w:lvlText w:val="●"/>
      <w:lvlJc w:val="left"/>
      <w:pPr>
        <w:ind w:left="5760" w:hanging="360"/>
      </w:pPr>
    </w:lvl>
    <w:lvl w:ilvl="8" w:tplc="91E8EC44">
      <w:start w:val="1"/>
      <w:numFmt w:val="bullet"/>
      <w:lvlText w:val="●"/>
      <w:lvlJc w:val="left"/>
      <w:pPr>
        <w:ind w:left="6480" w:hanging="360"/>
      </w:pPr>
    </w:lvl>
  </w:abstractNum>
  <w:abstractNum w:abstractNumId="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842550624">
    <w:abstractNumId w:val="0"/>
    <w:lvlOverride w:ilvl="0">
      <w:startOverride w:val="1"/>
    </w:lvlOverride>
  </w:num>
  <w:num w:numId="2" w16cid:durableId="927081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C88"/>
    <w:rsid w:val="00005440"/>
    <w:rsid w:val="00007406"/>
    <w:rsid w:val="00010F74"/>
    <w:rsid w:val="0001182E"/>
    <w:rsid w:val="000125C0"/>
    <w:rsid w:val="0001555F"/>
    <w:rsid w:val="000165F9"/>
    <w:rsid w:val="000231D7"/>
    <w:rsid w:val="000250FC"/>
    <w:rsid w:val="00035A57"/>
    <w:rsid w:val="00040762"/>
    <w:rsid w:val="00044FDC"/>
    <w:rsid w:val="00045000"/>
    <w:rsid w:val="000464A5"/>
    <w:rsid w:val="00046D9F"/>
    <w:rsid w:val="00047833"/>
    <w:rsid w:val="00051E3D"/>
    <w:rsid w:val="000520EF"/>
    <w:rsid w:val="00055413"/>
    <w:rsid w:val="00062C78"/>
    <w:rsid w:val="0006551C"/>
    <w:rsid w:val="00065A28"/>
    <w:rsid w:val="00065E65"/>
    <w:rsid w:val="00066E0E"/>
    <w:rsid w:val="00067795"/>
    <w:rsid w:val="00070C45"/>
    <w:rsid w:val="00071A4C"/>
    <w:rsid w:val="00072C91"/>
    <w:rsid w:val="00075A68"/>
    <w:rsid w:val="000760AC"/>
    <w:rsid w:val="00076B8B"/>
    <w:rsid w:val="00077A9C"/>
    <w:rsid w:val="00082105"/>
    <w:rsid w:val="00086A0B"/>
    <w:rsid w:val="00087006"/>
    <w:rsid w:val="000929AE"/>
    <w:rsid w:val="000A404C"/>
    <w:rsid w:val="000B242B"/>
    <w:rsid w:val="000B3052"/>
    <w:rsid w:val="000B433E"/>
    <w:rsid w:val="000B47E5"/>
    <w:rsid w:val="000C39A1"/>
    <w:rsid w:val="000C73D0"/>
    <w:rsid w:val="000C7E1D"/>
    <w:rsid w:val="000D6812"/>
    <w:rsid w:val="000E34A2"/>
    <w:rsid w:val="000E3A56"/>
    <w:rsid w:val="000E4A8B"/>
    <w:rsid w:val="000E5614"/>
    <w:rsid w:val="000E6D92"/>
    <w:rsid w:val="000F0B8D"/>
    <w:rsid w:val="000F2988"/>
    <w:rsid w:val="000F5466"/>
    <w:rsid w:val="000F59E4"/>
    <w:rsid w:val="000F67C7"/>
    <w:rsid w:val="00103BB3"/>
    <w:rsid w:val="001067D4"/>
    <w:rsid w:val="00106817"/>
    <w:rsid w:val="00107D27"/>
    <w:rsid w:val="0011073C"/>
    <w:rsid w:val="001154DB"/>
    <w:rsid w:val="001162DD"/>
    <w:rsid w:val="00117E80"/>
    <w:rsid w:val="00120888"/>
    <w:rsid w:val="001213FB"/>
    <w:rsid w:val="0012263A"/>
    <w:rsid w:val="001274F2"/>
    <w:rsid w:val="00134D14"/>
    <w:rsid w:val="00136C03"/>
    <w:rsid w:val="0013766B"/>
    <w:rsid w:val="00143A35"/>
    <w:rsid w:val="00144021"/>
    <w:rsid w:val="00146361"/>
    <w:rsid w:val="00146DC0"/>
    <w:rsid w:val="0015033F"/>
    <w:rsid w:val="00151956"/>
    <w:rsid w:val="00151A02"/>
    <w:rsid w:val="00151C88"/>
    <w:rsid w:val="0015307A"/>
    <w:rsid w:val="00156427"/>
    <w:rsid w:val="0015647B"/>
    <w:rsid w:val="00156D49"/>
    <w:rsid w:val="0016250D"/>
    <w:rsid w:val="00163C47"/>
    <w:rsid w:val="0017594A"/>
    <w:rsid w:val="0017631B"/>
    <w:rsid w:val="00183927"/>
    <w:rsid w:val="00183CDC"/>
    <w:rsid w:val="00190784"/>
    <w:rsid w:val="00193BE2"/>
    <w:rsid w:val="00193BF0"/>
    <w:rsid w:val="00193CE2"/>
    <w:rsid w:val="00194B2A"/>
    <w:rsid w:val="00195D9C"/>
    <w:rsid w:val="00197CFC"/>
    <w:rsid w:val="001A4BB7"/>
    <w:rsid w:val="001B0B43"/>
    <w:rsid w:val="001B3CAE"/>
    <w:rsid w:val="001B4F94"/>
    <w:rsid w:val="001B5598"/>
    <w:rsid w:val="001B7647"/>
    <w:rsid w:val="001D0A44"/>
    <w:rsid w:val="001D36BF"/>
    <w:rsid w:val="001E7F5B"/>
    <w:rsid w:val="001F1ABF"/>
    <w:rsid w:val="001F1D85"/>
    <w:rsid w:val="001F1F5A"/>
    <w:rsid w:val="001F2972"/>
    <w:rsid w:val="001F4B14"/>
    <w:rsid w:val="00203A5B"/>
    <w:rsid w:val="00203DE6"/>
    <w:rsid w:val="002046A4"/>
    <w:rsid w:val="00204E38"/>
    <w:rsid w:val="00205531"/>
    <w:rsid w:val="0020657C"/>
    <w:rsid w:val="002112CD"/>
    <w:rsid w:val="00211DBF"/>
    <w:rsid w:val="00212E5B"/>
    <w:rsid w:val="00215B26"/>
    <w:rsid w:val="00220E2C"/>
    <w:rsid w:val="0022142D"/>
    <w:rsid w:val="00225243"/>
    <w:rsid w:val="00237483"/>
    <w:rsid w:val="00237489"/>
    <w:rsid w:val="00237697"/>
    <w:rsid w:val="002409E2"/>
    <w:rsid w:val="00241162"/>
    <w:rsid w:val="0024212E"/>
    <w:rsid w:val="00243FB3"/>
    <w:rsid w:val="00246443"/>
    <w:rsid w:val="00251271"/>
    <w:rsid w:val="00253059"/>
    <w:rsid w:val="0025375E"/>
    <w:rsid w:val="00253E94"/>
    <w:rsid w:val="00254F02"/>
    <w:rsid w:val="002577FA"/>
    <w:rsid w:val="002606DC"/>
    <w:rsid w:val="0026256C"/>
    <w:rsid w:val="00262DAD"/>
    <w:rsid w:val="00263272"/>
    <w:rsid w:val="00265850"/>
    <w:rsid w:val="00267AB6"/>
    <w:rsid w:val="00274003"/>
    <w:rsid w:val="00274A01"/>
    <w:rsid w:val="0028460B"/>
    <w:rsid w:val="00294A24"/>
    <w:rsid w:val="00296041"/>
    <w:rsid w:val="002A40B3"/>
    <w:rsid w:val="002B1182"/>
    <w:rsid w:val="002C20FD"/>
    <w:rsid w:val="002C57E6"/>
    <w:rsid w:val="002C5B8B"/>
    <w:rsid w:val="002C6341"/>
    <w:rsid w:val="002D5387"/>
    <w:rsid w:val="002D636C"/>
    <w:rsid w:val="002D6D86"/>
    <w:rsid w:val="002D73ED"/>
    <w:rsid w:val="002E6209"/>
    <w:rsid w:val="002E6999"/>
    <w:rsid w:val="002E730A"/>
    <w:rsid w:val="002E781C"/>
    <w:rsid w:val="002F343D"/>
    <w:rsid w:val="002F6922"/>
    <w:rsid w:val="002F6983"/>
    <w:rsid w:val="003005EF"/>
    <w:rsid w:val="0030235E"/>
    <w:rsid w:val="00302B0E"/>
    <w:rsid w:val="00305D9D"/>
    <w:rsid w:val="003066A1"/>
    <w:rsid w:val="0031092B"/>
    <w:rsid w:val="0031143C"/>
    <w:rsid w:val="003275CB"/>
    <w:rsid w:val="003310E8"/>
    <w:rsid w:val="00341B07"/>
    <w:rsid w:val="003440EC"/>
    <w:rsid w:val="00345220"/>
    <w:rsid w:val="00352C4C"/>
    <w:rsid w:val="003550E7"/>
    <w:rsid w:val="00360628"/>
    <w:rsid w:val="00367CFB"/>
    <w:rsid w:val="003718D4"/>
    <w:rsid w:val="0038055A"/>
    <w:rsid w:val="00383F23"/>
    <w:rsid w:val="00384167"/>
    <w:rsid w:val="003849C1"/>
    <w:rsid w:val="00386983"/>
    <w:rsid w:val="00391BBF"/>
    <w:rsid w:val="003A38B8"/>
    <w:rsid w:val="003A4C7E"/>
    <w:rsid w:val="003A6194"/>
    <w:rsid w:val="003B2764"/>
    <w:rsid w:val="003B27CE"/>
    <w:rsid w:val="003B497F"/>
    <w:rsid w:val="003B5B66"/>
    <w:rsid w:val="003B7850"/>
    <w:rsid w:val="003C0359"/>
    <w:rsid w:val="003C6363"/>
    <w:rsid w:val="003C6937"/>
    <w:rsid w:val="003D0D2C"/>
    <w:rsid w:val="003D1A17"/>
    <w:rsid w:val="003D2EE6"/>
    <w:rsid w:val="003D3F30"/>
    <w:rsid w:val="003D6861"/>
    <w:rsid w:val="003D6E8B"/>
    <w:rsid w:val="003E1206"/>
    <w:rsid w:val="003E1ED2"/>
    <w:rsid w:val="003F6483"/>
    <w:rsid w:val="0040001E"/>
    <w:rsid w:val="00411776"/>
    <w:rsid w:val="004132CA"/>
    <w:rsid w:val="00413A10"/>
    <w:rsid w:val="004160B6"/>
    <w:rsid w:val="00430381"/>
    <w:rsid w:val="00432FA0"/>
    <w:rsid w:val="00434BEA"/>
    <w:rsid w:val="0043509C"/>
    <w:rsid w:val="004422F4"/>
    <w:rsid w:val="004426B2"/>
    <w:rsid w:val="00446062"/>
    <w:rsid w:val="00451CD3"/>
    <w:rsid w:val="00452F0A"/>
    <w:rsid w:val="004619DE"/>
    <w:rsid w:val="00461C96"/>
    <w:rsid w:val="00462ABC"/>
    <w:rsid w:val="00462D57"/>
    <w:rsid w:val="00463479"/>
    <w:rsid w:val="00464199"/>
    <w:rsid w:val="00464AF4"/>
    <w:rsid w:val="00472C49"/>
    <w:rsid w:val="00472D86"/>
    <w:rsid w:val="0047450B"/>
    <w:rsid w:val="0047547B"/>
    <w:rsid w:val="00475513"/>
    <w:rsid w:val="004813A9"/>
    <w:rsid w:val="0048454A"/>
    <w:rsid w:val="00484C81"/>
    <w:rsid w:val="00490F58"/>
    <w:rsid w:val="0049181C"/>
    <w:rsid w:val="004927AC"/>
    <w:rsid w:val="0049314B"/>
    <w:rsid w:val="004937CE"/>
    <w:rsid w:val="00494764"/>
    <w:rsid w:val="00497E22"/>
    <w:rsid w:val="004A08CE"/>
    <w:rsid w:val="004A2050"/>
    <w:rsid w:val="004A2464"/>
    <w:rsid w:val="004A6062"/>
    <w:rsid w:val="004B317F"/>
    <w:rsid w:val="004B77FC"/>
    <w:rsid w:val="004C0FA9"/>
    <w:rsid w:val="004C24B2"/>
    <w:rsid w:val="004C4282"/>
    <w:rsid w:val="004D228A"/>
    <w:rsid w:val="004D50F3"/>
    <w:rsid w:val="004D6E56"/>
    <w:rsid w:val="004D7A98"/>
    <w:rsid w:val="004E166F"/>
    <w:rsid w:val="004E7933"/>
    <w:rsid w:val="004F1057"/>
    <w:rsid w:val="004F37A9"/>
    <w:rsid w:val="004F3C33"/>
    <w:rsid w:val="004F5708"/>
    <w:rsid w:val="004F64EA"/>
    <w:rsid w:val="00501F69"/>
    <w:rsid w:val="005038C0"/>
    <w:rsid w:val="00503EB3"/>
    <w:rsid w:val="0050673A"/>
    <w:rsid w:val="005067DE"/>
    <w:rsid w:val="0051074C"/>
    <w:rsid w:val="00511B43"/>
    <w:rsid w:val="00512190"/>
    <w:rsid w:val="0051316B"/>
    <w:rsid w:val="005138DC"/>
    <w:rsid w:val="00515B3D"/>
    <w:rsid w:val="00516865"/>
    <w:rsid w:val="0052098C"/>
    <w:rsid w:val="00523682"/>
    <w:rsid w:val="005271DF"/>
    <w:rsid w:val="00534296"/>
    <w:rsid w:val="005402D5"/>
    <w:rsid w:val="00542C46"/>
    <w:rsid w:val="005473DE"/>
    <w:rsid w:val="0054745D"/>
    <w:rsid w:val="00547A6B"/>
    <w:rsid w:val="00551104"/>
    <w:rsid w:val="005512B2"/>
    <w:rsid w:val="00555A3C"/>
    <w:rsid w:val="0056110B"/>
    <w:rsid w:val="00565AF0"/>
    <w:rsid w:val="005674EC"/>
    <w:rsid w:val="00567904"/>
    <w:rsid w:val="005726DD"/>
    <w:rsid w:val="00573BA3"/>
    <w:rsid w:val="00574EB6"/>
    <w:rsid w:val="00580E1F"/>
    <w:rsid w:val="005824E0"/>
    <w:rsid w:val="00582C85"/>
    <w:rsid w:val="00584028"/>
    <w:rsid w:val="005946B5"/>
    <w:rsid w:val="005A2BC0"/>
    <w:rsid w:val="005A67A9"/>
    <w:rsid w:val="005A7A9D"/>
    <w:rsid w:val="005B133F"/>
    <w:rsid w:val="005B304D"/>
    <w:rsid w:val="005B4D88"/>
    <w:rsid w:val="005B7F20"/>
    <w:rsid w:val="005C023E"/>
    <w:rsid w:val="005C758E"/>
    <w:rsid w:val="005D0F9F"/>
    <w:rsid w:val="005D2012"/>
    <w:rsid w:val="005D4D01"/>
    <w:rsid w:val="005D4D27"/>
    <w:rsid w:val="005E088D"/>
    <w:rsid w:val="005E1E0B"/>
    <w:rsid w:val="005E2257"/>
    <w:rsid w:val="005E38E6"/>
    <w:rsid w:val="005E6100"/>
    <w:rsid w:val="005E6A0C"/>
    <w:rsid w:val="005F0E21"/>
    <w:rsid w:val="005F1533"/>
    <w:rsid w:val="005F3E36"/>
    <w:rsid w:val="005F518F"/>
    <w:rsid w:val="00604AA7"/>
    <w:rsid w:val="00605C17"/>
    <w:rsid w:val="00605D60"/>
    <w:rsid w:val="00606562"/>
    <w:rsid w:val="00607914"/>
    <w:rsid w:val="00612B82"/>
    <w:rsid w:val="00612C5B"/>
    <w:rsid w:val="0061391E"/>
    <w:rsid w:val="00614CF9"/>
    <w:rsid w:val="00617161"/>
    <w:rsid w:val="00623386"/>
    <w:rsid w:val="006246A4"/>
    <w:rsid w:val="00641205"/>
    <w:rsid w:val="0064277B"/>
    <w:rsid w:val="00644DE9"/>
    <w:rsid w:val="00647F30"/>
    <w:rsid w:val="00654D0A"/>
    <w:rsid w:val="00655F19"/>
    <w:rsid w:val="00657D0E"/>
    <w:rsid w:val="00662B1D"/>
    <w:rsid w:val="00664976"/>
    <w:rsid w:val="00665B5B"/>
    <w:rsid w:val="00666D67"/>
    <w:rsid w:val="00671871"/>
    <w:rsid w:val="00672D2D"/>
    <w:rsid w:val="00675E01"/>
    <w:rsid w:val="006772E4"/>
    <w:rsid w:val="006928BC"/>
    <w:rsid w:val="00693AE1"/>
    <w:rsid w:val="00697F14"/>
    <w:rsid w:val="006A5AC4"/>
    <w:rsid w:val="006A69CC"/>
    <w:rsid w:val="006A6B9B"/>
    <w:rsid w:val="006A6EC0"/>
    <w:rsid w:val="006A74D8"/>
    <w:rsid w:val="006B22FC"/>
    <w:rsid w:val="006B5746"/>
    <w:rsid w:val="006B7006"/>
    <w:rsid w:val="006C27AF"/>
    <w:rsid w:val="006C2F11"/>
    <w:rsid w:val="006C3CAB"/>
    <w:rsid w:val="006D04FD"/>
    <w:rsid w:val="006D14CF"/>
    <w:rsid w:val="006D315C"/>
    <w:rsid w:val="006D55A4"/>
    <w:rsid w:val="006E0A51"/>
    <w:rsid w:val="006E10C1"/>
    <w:rsid w:val="006E10E4"/>
    <w:rsid w:val="006F4C28"/>
    <w:rsid w:val="006F5639"/>
    <w:rsid w:val="006F6035"/>
    <w:rsid w:val="0070512D"/>
    <w:rsid w:val="00705D90"/>
    <w:rsid w:val="0071009C"/>
    <w:rsid w:val="0071074E"/>
    <w:rsid w:val="007121BE"/>
    <w:rsid w:val="0071502E"/>
    <w:rsid w:val="00723255"/>
    <w:rsid w:val="00724E8C"/>
    <w:rsid w:val="0073051F"/>
    <w:rsid w:val="00731802"/>
    <w:rsid w:val="0073305A"/>
    <w:rsid w:val="00733104"/>
    <w:rsid w:val="00734764"/>
    <w:rsid w:val="007352D1"/>
    <w:rsid w:val="007416E4"/>
    <w:rsid w:val="00747605"/>
    <w:rsid w:val="007476C6"/>
    <w:rsid w:val="00750928"/>
    <w:rsid w:val="0075191B"/>
    <w:rsid w:val="007531DB"/>
    <w:rsid w:val="007552CA"/>
    <w:rsid w:val="00755EE3"/>
    <w:rsid w:val="00757526"/>
    <w:rsid w:val="007608E0"/>
    <w:rsid w:val="00772528"/>
    <w:rsid w:val="007738AE"/>
    <w:rsid w:val="0077501F"/>
    <w:rsid w:val="00775E6D"/>
    <w:rsid w:val="007815FA"/>
    <w:rsid w:val="00781F88"/>
    <w:rsid w:val="007837C5"/>
    <w:rsid w:val="007853CD"/>
    <w:rsid w:val="00792898"/>
    <w:rsid w:val="00794147"/>
    <w:rsid w:val="0079645A"/>
    <w:rsid w:val="00797D97"/>
    <w:rsid w:val="007A0021"/>
    <w:rsid w:val="007A0764"/>
    <w:rsid w:val="007A136E"/>
    <w:rsid w:val="007A53D8"/>
    <w:rsid w:val="007A57AB"/>
    <w:rsid w:val="007A64DB"/>
    <w:rsid w:val="007B56F2"/>
    <w:rsid w:val="007B6ECF"/>
    <w:rsid w:val="007C37E8"/>
    <w:rsid w:val="007C4655"/>
    <w:rsid w:val="007C7C8B"/>
    <w:rsid w:val="007D1933"/>
    <w:rsid w:val="007D39DA"/>
    <w:rsid w:val="007D502B"/>
    <w:rsid w:val="007E4773"/>
    <w:rsid w:val="007E5BE5"/>
    <w:rsid w:val="007E6118"/>
    <w:rsid w:val="007E650D"/>
    <w:rsid w:val="007E6CB7"/>
    <w:rsid w:val="007E7DE9"/>
    <w:rsid w:val="007F04B9"/>
    <w:rsid w:val="007F12AE"/>
    <w:rsid w:val="007F5317"/>
    <w:rsid w:val="007F7729"/>
    <w:rsid w:val="008009A7"/>
    <w:rsid w:val="0081184A"/>
    <w:rsid w:val="00814872"/>
    <w:rsid w:val="00815AA7"/>
    <w:rsid w:val="00815DDF"/>
    <w:rsid w:val="0081618B"/>
    <w:rsid w:val="008175C8"/>
    <w:rsid w:val="00820535"/>
    <w:rsid w:val="00820F7D"/>
    <w:rsid w:val="008219BA"/>
    <w:rsid w:val="0082204C"/>
    <w:rsid w:val="00822756"/>
    <w:rsid w:val="00824B82"/>
    <w:rsid w:val="0082619B"/>
    <w:rsid w:val="00833B99"/>
    <w:rsid w:val="00835990"/>
    <w:rsid w:val="008408B7"/>
    <w:rsid w:val="00851103"/>
    <w:rsid w:val="008558A3"/>
    <w:rsid w:val="008704D3"/>
    <w:rsid w:val="008733BE"/>
    <w:rsid w:val="00876816"/>
    <w:rsid w:val="00880C36"/>
    <w:rsid w:val="00883DFE"/>
    <w:rsid w:val="00886B9B"/>
    <w:rsid w:val="00891F82"/>
    <w:rsid w:val="008965E8"/>
    <w:rsid w:val="00897A3D"/>
    <w:rsid w:val="00897EE2"/>
    <w:rsid w:val="008A417E"/>
    <w:rsid w:val="008A4253"/>
    <w:rsid w:val="008A4D26"/>
    <w:rsid w:val="008A7026"/>
    <w:rsid w:val="008B02B8"/>
    <w:rsid w:val="008B03F9"/>
    <w:rsid w:val="008B3618"/>
    <w:rsid w:val="008B394E"/>
    <w:rsid w:val="008B3A92"/>
    <w:rsid w:val="008B4C85"/>
    <w:rsid w:val="008B7D4B"/>
    <w:rsid w:val="008C1AAF"/>
    <w:rsid w:val="008C229F"/>
    <w:rsid w:val="008C3009"/>
    <w:rsid w:val="008C37C5"/>
    <w:rsid w:val="008C606B"/>
    <w:rsid w:val="008D1E7B"/>
    <w:rsid w:val="008D3D91"/>
    <w:rsid w:val="008D788D"/>
    <w:rsid w:val="008E5078"/>
    <w:rsid w:val="008F0958"/>
    <w:rsid w:val="008F1680"/>
    <w:rsid w:val="008F3BF7"/>
    <w:rsid w:val="008F59D4"/>
    <w:rsid w:val="00901088"/>
    <w:rsid w:val="0090169B"/>
    <w:rsid w:val="00901BAA"/>
    <w:rsid w:val="00907227"/>
    <w:rsid w:val="00912CB8"/>
    <w:rsid w:val="00915C73"/>
    <w:rsid w:val="00921007"/>
    <w:rsid w:val="00922D04"/>
    <w:rsid w:val="00925997"/>
    <w:rsid w:val="00925B2A"/>
    <w:rsid w:val="009275D0"/>
    <w:rsid w:val="009306C1"/>
    <w:rsid w:val="0093077D"/>
    <w:rsid w:val="0093288A"/>
    <w:rsid w:val="009378A5"/>
    <w:rsid w:val="00937AB7"/>
    <w:rsid w:val="0094016A"/>
    <w:rsid w:val="00940C82"/>
    <w:rsid w:val="00942137"/>
    <w:rsid w:val="00947A51"/>
    <w:rsid w:val="009503B8"/>
    <w:rsid w:val="009509D5"/>
    <w:rsid w:val="00953BF6"/>
    <w:rsid w:val="00961B25"/>
    <w:rsid w:val="009621BE"/>
    <w:rsid w:val="00965721"/>
    <w:rsid w:val="009659C4"/>
    <w:rsid w:val="00966BB7"/>
    <w:rsid w:val="009670DF"/>
    <w:rsid w:val="00973311"/>
    <w:rsid w:val="00973682"/>
    <w:rsid w:val="00976851"/>
    <w:rsid w:val="00984BCE"/>
    <w:rsid w:val="0099002E"/>
    <w:rsid w:val="009903F8"/>
    <w:rsid w:val="009918C6"/>
    <w:rsid w:val="00991992"/>
    <w:rsid w:val="00995803"/>
    <w:rsid w:val="00996C08"/>
    <w:rsid w:val="009974A3"/>
    <w:rsid w:val="009A3BFA"/>
    <w:rsid w:val="009A3D3A"/>
    <w:rsid w:val="009A448F"/>
    <w:rsid w:val="009A49DA"/>
    <w:rsid w:val="009A60D3"/>
    <w:rsid w:val="009A6514"/>
    <w:rsid w:val="009A6D32"/>
    <w:rsid w:val="009B1852"/>
    <w:rsid w:val="009B3BAC"/>
    <w:rsid w:val="009B7778"/>
    <w:rsid w:val="009C26BF"/>
    <w:rsid w:val="009C3907"/>
    <w:rsid w:val="009C4785"/>
    <w:rsid w:val="009C5CD8"/>
    <w:rsid w:val="009C7169"/>
    <w:rsid w:val="009C7A81"/>
    <w:rsid w:val="009D16AE"/>
    <w:rsid w:val="009D1D3B"/>
    <w:rsid w:val="009D7D0D"/>
    <w:rsid w:val="009E07F9"/>
    <w:rsid w:val="009E1989"/>
    <w:rsid w:val="009E5643"/>
    <w:rsid w:val="009E63E6"/>
    <w:rsid w:val="009E6B9A"/>
    <w:rsid w:val="009F060F"/>
    <w:rsid w:val="009F35D9"/>
    <w:rsid w:val="009F5ABE"/>
    <w:rsid w:val="009F75AE"/>
    <w:rsid w:val="00A013E9"/>
    <w:rsid w:val="00A02125"/>
    <w:rsid w:val="00A067E9"/>
    <w:rsid w:val="00A07518"/>
    <w:rsid w:val="00A076D9"/>
    <w:rsid w:val="00A07B84"/>
    <w:rsid w:val="00A10A8F"/>
    <w:rsid w:val="00A112AD"/>
    <w:rsid w:val="00A13799"/>
    <w:rsid w:val="00A14600"/>
    <w:rsid w:val="00A14F02"/>
    <w:rsid w:val="00A1547F"/>
    <w:rsid w:val="00A222F3"/>
    <w:rsid w:val="00A2392E"/>
    <w:rsid w:val="00A2619C"/>
    <w:rsid w:val="00A271B8"/>
    <w:rsid w:val="00A317F1"/>
    <w:rsid w:val="00A32024"/>
    <w:rsid w:val="00A34AA3"/>
    <w:rsid w:val="00A350E5"/>
    <w:rsid w:val="00A406BD"/>
    <w:rsid w:val="00A41740"/>
    <w:rsid w:val="00A45D7C"/>
    <w:rsid w:val="00A45F3B"/>
    <w:rsid w:val="00A55370"/>
    <w:rsid w:val="00A563B9"/>
    <w:rsid w:val="00A56B25"/>
    <w:rsid w:val="00A61887"/>
    <w:rsid w:val="00A65D69"/>
    <w:rsid w:val="00A73AB7"/>
    <w:rsid w:val="00A74A6E"/>
    <w:rsid w:val="00A806F7"/>
    <w:rsid w:val="00A81E35"/>
    <w:rsid w:val="00A843CE"/>
    <w:rsid w:val="00A93E2A"/>
    <w:rsid w:val="00A97E36"/>
    <w:rsid w:val="00AA13E2"/>
    <w:rsid w:val="00AA2F89"/>
    <w:rsid w:val="00AA44A8"/>
    <w:rsid w:val="00AA4EDB"/>
    <w:rsid w:val="00AA74E4"/>
    <w:rsid w:val="00AB433B"/>
    <w:rsid w:val="00AC1790"/>
    <w:rsid w:val="00AC2002"/>
    <w:rsid w:val="00AD0B97"/>
    <w:rsid w:val="00AD2095"/>
    <w:rsid w:val="00AD40B0"/>
    <w:rsid w:val="00AD455C"/>
    <w:rsid w:val="00AD5015"/>
    <w:rsid w:val="00AD5029"/>
    <w:rsid w:val="00AE17C0"/>
    <w:rsid w:val="00AE1FDF"/>
    <w:rsid w:val="00AE3417"/>
    <w:rsid w:val="00AE4ABB"/>
    <w:rsid w:val="00AE58B8"/>
    <w:rsid w:val="00AE596B"/>
    <w:rsid w:val="00AE73A3"/>
    <w:rsid w:val="00AF0823"/>
    <w:rsid w:val="00AF101D"/>
    <w:rsid w:val="00AF2E9C"/>
    <w:rsid w:val="00AF4ECD"/>
    <w:rsid w:val="00AF6463"/>
    <w:rsid w:val="00B0243B"/>
    <w:rsid w:val="00B048BF"/>
    <w:rsid w:val="00B05D48"/>
    <w:rsid w:val="00B12911"/>
    <w:rsid w:val="00B15520"/>
    <w:rsid w:val="00B15BD4"/>
    <w:rsid w:val="00B15BE2"/>
    <w:rsid w:val="00B16628"/>
    <w:rsid w:val="00B21D00"/>
    <w:rsid w:val="00B222F7"/>
    <w:rsid w:val="00B24497"/>
    <w:rsid w:val="00B26BF7"/>
    <w:rsid w:val="00B26D38"/>
    <w:rsid w:val="00B270A3"/>
    <w:rsid w:val="00B31986"/>
    <w:rsid w:val="00B37BEA"/>
    <w:rsid w:val="00B4072D"/>
    <w:rsid w:val="00B41185"/>
    <w:rsid w:val="00B41655"/>
    <w:rsid w:val="00B44E88"/>
    <w:rsid w:val="00B534FC"/>
    <w:rsid w:val="00B544FE"/>
    <w:rsid w:val="00B54897"/>
    <w:rsid w:val="00B54F48"/>
    <w:rsid w:val="00B61F9F"/>
    <w:rsid w:val="00B63C69"/>
    <w:rsid w:val="00B70E54"/>
    <w:rsid w:val="00B74851"/>
    <w:rsid w:val="00B75124"/>
    <w:rsid w:val="00B76729"/>
    <w:rsid w:val="00B77030"/>
    <w:rsid w:val="00B77E77"/>
    <w:rsid w:val="00B80F37"/>
    <w:rsid w:val="00B838B8"/>
    <w:rsid w:val="00B8652D"/>
    <w:rsid w:val="00B907CF"/>
    <w:rsid w:val="00B9099B"/>
    <w:rsid w:val="00B90ED9"/>
    <w:rsid w:val="00B923F9"/>
    <w:rsid w:val="00B925F4"/>
    <w:rsid w:val="00B9272B"/>
    <w:rsid w:val="00B950A0"/>
    <w:rsid w:val="00B963BC"/>
    <w:rsid w:val="00BA72E8"/>
    <w:rsid w:val="00BA76A8"/>
    <w:rsid w:val="00BA7889"/>
    <w:rsid w:val="00BA7A5B"/>
    <w:rsid w:val="00BB2297"/>
    <w:rsid w:val="00BB3E2E"/>
    <w:rsid w:val="00BC2727"/>
    <w:rsid w:val="00BD4C3F"/>
    <w:rsid w:val="00BD4E56"/>
    <w:rsid w:val="00BD5503"/>
    <w:rsid w:val="00BE14FA"/>
    <w:rsid w:val="00BE15DF"/>
    <w:rsid w:val="00BE43DC"/>
    <w:rsid w:val="00BE491F"/>
    <w:rsid w:val="00BE61C2"/>
    <w:rsid w:val="00BF37B8"/>
    <w:rsid w:val="00BF3B4F"/>
    <w:rsid w:val="00BF5758"/>
    <w:rsid w:val="00BF5E57"/>
    <w:rsid w:val="00C01405"/>
    <w:rsid w:val="00C02337"/>
    <w:rsid w:val="00C0281E"/>
    <w:rsid w:val="00C03966"/>
    <w:rsid w:val="00C066A5"/>
    <w:rsid w:val="00C1068E"/>
    <w:rsid w:val="00C1219D"/>
    <w:rsid w:val="00C13417"/>
    <w:rsid w:val="00C17903"/>
    <w:rsid w:val="00C20086"/>
    <w:rsid w:val="00C20572"/>
    <w:rsid w:val="00C213DD"/>
    <w:rsid w:val="00C21F0D"/>
    <w:rsid w:val="00C262AA"/>
    <w:rsid w:val="00C26F37"/>
    <w:rsid w:val="00C2708B"/>
    <w:rsid w:val="00C30C4E"/>
    <w:rsid w:val="00C31538"/>
    <w:rsid w:val="00C3213C"/>
    <w:rsid w:val="00C330FF"/>
    <w:rsid w:val="00C334E7"/>
    <w:rsid w:val="00C3756D"/>
    <w:rsid w:val="00C434C1"/>
    <w:rsid w:val="00C459A2"/>
    <w:rsid w:val="00C45BE8"/>
    <w:rsid w:val="00C5104C"/>
    <w:rsid w:val="00C51B0E"/>
    <w:rsid w:val="00C53A81"/>
    <w:rsid w:val="00C549BF"/>
    <w:rsid w:val="00C54B1F"/>
    <w:rsid w:val="00C55692"/>
    <w:rsid w:val="00C557B1"/>
    <w:rsid w:val="00C57069"/>
    <w:rsid w:val="00C57399"/>
    <w:rsid w:val="00C61074"/>
    <w:rsid w:val="00C642C2"/>
    <w:rsid w:val="00C64D61"/>
    <w:rsid w:val="00C6558D"/>
    <w:rsid w:val="00C6590E"/>
    <w:rsid w:val="00C663F6"/>
    <w:rsid w:val="00C676F5"/>
    <w:rsid w:val="00C74B6B"/>
    <w:rsid w:val="00C75C74"/>
    <w:rsid w:val="00C77EBF"/>
    <w:rsid w:val="00C83281"/>
    <w:rsid w:val="00C84B9C"/>
    <w:rsid w:val="00C923C0"/>
    <w:rsid w:val="00C94D6D"/>
    <w:rsid w:val="00C95314"/>
    <w:rsid w:val="00C9543F"/>
    <w:rsid w:val="00CA1709"/>
    <w:rsid w:val="00CA17E7"/>
    <w:rsid w:val="00CA2026"/>
    <w:rsid w:val="00CA330F"/>
    <w:rsid w:val="00CA428A"/>
    <w:rsid w:val="00CA4309"/>
    <w:rsid w:val="00CA4589"/>
    <w:rsid w:val="00CB569E"/>
    <w:rsid w:val="00CB6394"/>
    <w:rsid w:val="00CB6E2E"/>
    <w:rsid w:val="00CC0A11"/>
    <w:rsid w:val="00CC0BB8"/>
    <w:rsid w:val="00CC1323"/>
    <w:rsid w:val="00CC2874"/>
    <w:rsid w:val="00CC725A"/>
    <w:rsid w:val="00CD22B2"/>
    <w:rsid w:val="00CD26A8"/>
    <w:rsid w:val="00CD360B"/>
    <w:rsid w:val="00CD5C1F"/>
    <w:rsid w:val="00CD72AC"/>
    <w:rsid w:val="00CD7F8C"/>
    <w:rsid w:val="00CE470A"/>
    <w:rsid w:val="00D001D4"/>
    <w:rsid w:val="00D00565"/>
    <w:rsid w:val="00D0251A"/>
    <w:rsid w:val="00D0279A"/>
    <w:rsid w:val="00D04FAE"/>
    <w:rsid w:val="00D064B1"/>
    <w:rsid w:val="00D10761"/>
    <w:rsid w:val="00D13052"/>
    <w:rsid w:val="00D209AC"/>
    <w:rsid w:val="00D26386"/>
    <w:rsid w:val="00D268E3"/>
    <w:rsid w:val="00D26BB9"/>
    <w:rsid w:val="00D36A9B"/>
    <w:rsid w:val="00D37D21"/>
    <w:rsid w:val="00D4129D"/>
    <w:rsid w:val="00D44680"/>
    <w:rsid w:val="00D44C16"/>
    <w:rsid w:val="00D519B1"/>
    <w:rsid w:val="00D539BC"/>
    <w:rsid w:val="00D55107"/>
    <w:rsid w:val="00D578E3"/>
    <w:rsid w:val="00D605BF"/>
    <w:rsid w:val="00D60EE7"/>
    <w:rsid w:val="00D62C4C"/>
    <w:rsid w:val="00D719AF"/>
    <w:rsid w:val="00D73DEC"/>
    <w:rsid w:val="00D84A81"/>
    <w:rsid w:val="00D85511"/>
    <w:rsid w:val="00D87299"/>
    <w:rsid w:val="00D873BE"/>
    <w:rsid w:val="00D87D21"/>
    <w:rsid w:val="00DA459A"/>
    <w:rsid w:val="00DA64F2"/>
    <w:rsid w:val="00DA67CF"/>
    <w:rsid w:val="00DB0422"/>
    <w:rsid w:val="00DB39AC"/>
    <w:rsid w:val="00DC011A"/>
    <w:rsid w:val="00DD2A43"/>
    <w:rsid w:val="00DD4CFF"/>
    <w:rsid w:val="00DE0304"/>
    <w:rsid w:val="00DE04ED"/>
    <w:rsid w:val="00DF0B23"/>
    <w:rsid w:val="00DF44F0"/>
    <w:rsid w:val="00DF491C"/>
    <w:rsid w:val="00DF5BA6"/>
    <w:rsid w:val="00DF6612"/>
    <w:rsid w:val="00DF7107"/>
    <w:rsid w:val="00DF7FF5"/>
    <w:rsid w:val="00E014A9"/>
    <w:rsid w:val="00E020FF"/>
    <w:rsid w:val="00E05481"/>
    <w:rsid w:val="00E07031"/>
    <w:rsid w:val="00E079E9"/>
    <w:rsid w:val="00E20CBB"/>
    <w:rsid w:val="00E21B82"/>
    <w:rsid w:val="00E21D48"/>
    <w:rsid w:val="00E221DD"/>
    <w:rsid w:val="00E25FAD"/>
    <w:rsid w:val="00E26653"/>
    <w:rsid w:val="00E2781C"/>
    <w:rsid w:val="00E27931"/>
    <w:rsid w:val="00E341F7"/>
    <w:rsid w:val="00E34B6A"/>
    <w:rsid w:val="00E35585"/>
    <w:rsid w:val="00E42C75"/>
    <w:rsid w:val="00E4681A"/>
    <w:rsid w:val="00E46F4E"/>
    <w:rsid w:val="00E5091C"/>
    <w:rsid w:val="00E5129D"/>
    <w:rsid w:val="00E63531"/>
    <w:rsid w:val="00E71380"/>
    <w:rsid w:val="00E73860"/>
    <w:rsid w:val="00E74FE7"/>
    <w:rsid w:val="00E77637"/>
    <w:rsid w:val="00E82DA9"/>
    <w:rsid w:val="00E8453F"/>
    <w:rsid w:val="00E84F74"/>
    <w:rsid w:val="00E90964"/>
    <w:rsid w:val="00E91A28"/>
    <w:rsid w:val="00E9222C"/>
    <w:rsid w:val="00E96BC6"/>
    <w:rsid w:val="00EA195D"/>
    <w:rsid w:val="00EA34F9"/>
    <w:rsid w:val="00EA534A"/>
    <w:rsid w:val="00EA72D0"/>
    <w:rsid w:val="00EB01C4"/>
    <w:rsid w:val="00EB05B6"/>
    <w:rsid w:val="00EC0957"/>
    <w:rsid w:val="00EC4CCC"/>
    <w:rsid w:val="00EC4D3B"/>
    <w:rsid w:val="00EC6EEA"/>
    <w:rsid w:val="00EC7472"/>
    <w:rsid w:val="00ED09C5"/>
    <w:rsid w:val="00ED22FA"/>
    <w:rsid w:val="00EE0C44"/>
    <w:rsid w:val="00EE2F3D"/>
    <w:rsid w:val="00EF0F63"/>
    <w:rsid w:val="00EF39B8"/>
    <w:rsid w:val="00EF618E"/>
    <w:rsid w:val="00F01AD0"/>
    <w:rsid w:val="00F02160"/>
    <w:rsid w:val="00F022B7"/>
    <w:rsid w:val="00F05D50"/>
    <w:rsid w:val="00F079AA"/>
    <w:rsid w:val="00F15608"/>
    <w:rsid w:val="00F15783"/>
    <w:rsid w:val="00F15D24"/>
    <w:rsid w:val="00F17019"/>
    <w:rsid w:val="00F22591"/>
    <w:rsid w:val="00F26FCB"/>
    <w:rsid w:val="00F31878"/>
    <w:rsid w:val="00F365E5"/>
    <w:rsid w:val="00F3745D"/>
    <w:rsid w:val="00F44E5C"/>
    <w:rsid w:val="00F47491"/>
    <w:rsid w:val="00F53D0F"/>
    <w:rsid w:val="00F60477"/>
    <w:rsid w:val="00F64883"/>
    <w:rsid w:val="00F648F6"/>
    <w:rsid w:val="00F65253"/>
    <w:rsid w:val="00F7122A"/>
    <w:rsid w:val="00F75A21"/>
    <w:rsid w:val="00F76FC8"/>
    <w:rsid w:val="00F77537"/>
    <w:rsid w:val="00F80EE8"/>
    <w:rsid w:val="00F82568"/>
    <w:rsid w:val="00F87F48"/>
    <w:rsid w:val="00F9018A"/>
    <w:rsid w:val="00F93BDA"/>
    <w:rsid w:val="00F94047"/>
    <w:rsid w:val="00FA67A4"/>
    <w:rsid w:val="00FB10BA"/>
    <w:rsid w:val="00FB1896"/>
    <w:rsid w:val="00FB2C31"/>
    <w:rsid w:val="00FB2D48"/>
    <w:rsid w:val="00FB34CA"/>
    <w:rsid w:val="00FB46F6"/>
    <w:rsid w:val="00FB4A1A"/>
    <w:rsid w:val="00FB4C6A"/>
    <w:rsid w:val="00FB5EB4"/>
    <w:rsid w:val="00FC53E5"/>
    <w:rsid w:val="00FD2155"/>
    <w:rsid w:val="00FD4684"/>
    <w:rsid w:val="00FD555B"/>
    <w:rsid w:val="00FD6D5A"/>
    <w:rsid w:val="00FE2842"/>
    <w:rsid w:val="00FE37EE"/>
    <w:rsid w:val="00FE7261"/>
    <w:rsid w:val="00FE75B8"/>
    <w:rsid w:val="00FE7A2C"/>
    <w:rsid w:val="00FF1E6D"/>
    <w:rsid w:val="00FF6505"/>
    <w:rsid w:val="0815A651"/>
    <w:rsid w:val="0996656F"/>
    <w:rsid w:val="100284A5"/>
    <w:rsid w:val="10F22362"/>
    <w:rsid w:val="1810170B"/>
    <w:rsid w:val="1F3E4CB0"/>
    <w:rsid w:val="23A69477"/>
    <w:rsid w:val="23CF14CE"/>
    <w:rsid w:val="260C7277"/>
    <w:rsid w:val="27EBF8B1"/>
    <w:rsid w:val="2B71850E"/>
    <w:rsid w:val="318DD9DC"/>
    <w:rsid w:val="3B0988BD"/>
    <w:rsid w:val="3CEE7779"/>
    <w:rsid w:val="3ECC7EFB"/>
    <w:rsid w:val="438F8395"/>
    <w:rsid w:val="462DED23"/>
    <w:rsid w:val="4F8D31B7"/>
    <w:rsid w:val="4FBF892E"/>
    <w:rsid w:val="506A40F4"/>
    <w:rsid w:val="513C4B52"/>
    <w:rsid w:val="53FA9D3B"/>
    <w:rsid w:val="54D9EB6B"/>
    <w:rsid w:val="5966EBCB"/>
    <w:rsid w:val="5A6FAEED"/>
    <w:rsid w:val="5DB40312"/>
    <w:rsid w:val="5DE91A6B"/>
    <w:rsid w:val="5E0C63CB"/>
    <w:rsid w:val="5F2D04D2"/>
    <w:rsid w:val="652997E1"/>
    <w:rsid w:val="66B3028D"/>
    <w:rsid w:val="67378CE9"/>
    <w:rsid w:val="6A821835"/>
    <w:rsid w:val="6C5ADA56"/>
    <w:rsid w:val="6D6EA2F9"/>
    <w:rsid w:val="74443705"/>
    <w:rsid w:val="748E2831"/>
    <w:rsid w:val="7501B74D"/>
    <w:rsid w:val="75A3AC7A"/>
    <w:rsid w:val="7D5580FF"/>
    <w:rsid w:val="7F9F3B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D729B"/>
  <w15:docId w15:val="{95A6269F-D875-47A3-932A-0B188822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300" w:after="150"/>
      <w:outlineLvl w:val="0"/>
    </w:pPr>
    <w:rPr>
      <w:b/>
      <w:bCs/>
      <w:color w:val="1F3864"/>
      <w:sz w:val="32"/>
      <w:szCs w:val="32"/>
    </w:rPr>
  </w:style>
  <w:style w:type="paragraph" w:styleId="Heading2">
    <w:name w:val="heading 2"/>
    <w:link w:val="Heading2Char"/>
    <w:uiPriority w:val="9"/>
    <w:unhideWhenUsed/>
    <w:qFormat/>
    <w:rsid w:val="004C0FA9"/>
    <w:pPr>
      <w:spacing w:before="200" w:after="100"/>
      <w:outlineLvl w:val="1"/>
    </w:pPr>
    <w:rPr>
      <w:b/>
      <w:bCs/>
      <w:color w:val="2E75B6"/>
      <w:sz w:val="22"/>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TitleChar">
    <w:name w:val="Title Char"/>
    <w:basedOn w:val="DefaultParagraphFont"/>
    <w:link w:val="Title"/>
    <w:uiPriority w:val="10"/>
    <w:rsid w:val="00E5091C"/>
    <w:rPr>
      <w:sz w:val="56"/>
      <w:szCs w:val="56"/>
    </w:rPr>
  </w:style>
  <w:style w:type="paragraph" w:styleId="Subtitle">
    <w:name w:val="Subtitle"/>
    <w:basedOn w:val="Normal"/>
    <w:link w:val="SubtitleChar"/>
    <w:uiPriority w:val="11"/>
    <w:qFormat/>
    <w:rsid w:val="00E5091C"/>
    <w:pPr>
      <w:spacing w:before="100" w:beforeAutospacing="1" w:after="100" w:afterAutospacing="1"/>
    </w:pPr>
    <w:rPr>
      <w:rFonts w:ascii="Times New Roman" w:eastAsiaTheme="minorEastAsia" w:hAnsi="Times New Roman" w:cs="Times New Roman"/>
      <w:sz w:val="24"/>
      <w:szCs w:val="24"/>
    </w:rPr>
  </w:style>
  <w:style w:type="character" w:customStyle="1" w:styleId="SubtitleChar">
    <w:name w:val="Subtitle Char"/>
    <w:basedOn w:val="DefaultParagraphFont"/>
    <w:link w:val="Subtitle"/>
    <w:uiPriority w:val="11"/>
    <w:rsid w:val="00E5091C"/>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5091C"/>
    <w:rPr>
      <w:b/>
      <w:bCs/>
      <w:color w:val="1F3864"/>
      <w:sz w:val="32"/>
      <w:szCs w:val="32"/>
    </w:rPr>
  </w:style>
  <w:style w:type="character" w:customStyle="1" w:styleId="Heading2Char">
    <w:name w:val="Heading 2 Char"/>
    <w:basedOn w:val="DefaultParagraphFont"/>
    <w:link w:val="Heading2"/>
    <w:uiPriority w:val="9"/>
    <w:rsid w:val="004C0FA9"/>
    <w:rPr>
      <w:b/>
      <w:bCs/>
      <w:color w:val="2E75B6"/>
      <w:sz w:val="22"/>
      <w:szCs w:val="26"/>
    </w:rPr>
  </w:style>
  <w:style w:type="paragraph" w:styleId="PlainText">
    <w:name w:val="Plain Text"/>
    <w:basedOn w:val="Normal"/>
    <w:link w:val="PlainTextChar"/>
    <w:uiPriority w:val="99"/>
    <w:unhideWhenUsed/>
    <w:rsid w:val="00EB01C4"/>
    <w:rPr>
      <w:rFonts w:ascii="Consolas" w:eastAsiaTheme="minorHAnsi" w:hAnsi="Consolas" w:cstheme="minorBidi"/>
      <w:kern w:val="2"/>
      <w:sz w:val="21"/>
      <w:szCs w:val="21"/>
      <w:lang w:eastAsia="en-US"/>
      <w14:ligatures w14:val="standardContextual"/>
    </w:rPr>
  </w:style>
  <w:style w:type="character" w:customStyle="1" w:styleId="PlainTextChar">
    <w:name w:val="Plain Text Char"/>
    <w:basedOn w:val="DefaultParagraphFont"/>
    <w:link w:val="PlainText"/>
    <w:uiPriority w:val="99"/>
    <w:rsid w:val="00EB01C4"/>
    <w:rPr>
      <w:rFonts w:ascii="Consolas" w:eastAsiaTheme="minorHAnsi" w:hAnsi="Consolas" w:cstheme="minorBidi"/>
      <w:kern w:val="2"/>
      <w:sz w:val="21"/>
      <w:szCs w:val="21"/>
      <w:lang w:eastAsia="en-US"/>
      <w14:ligatures w14:val="standardContextual"/>
    </w:rPr>
  </w:style>
  <w:style w:type="paragraph" w:styleId="Header">
    <w:name w:val="header"/>
    <w:basedOn w:val="Normal"/>
    <w:link w:val="HeaderChar"/>
    <w:uiPriority w:val="99"/>
    <w:unhideWhenUsed/>
    <w:rsid w:val="003C6937"/>
    <w:pPr>
      <w:tabs>
        <w:tab w:val="center" w:pos="4513"/>
        <w:tab w:val="right" w:pos="9026"/>
      </w:tabs>
    </w:pPr>
  </w:style>
  <w:style w:type="character" w:customStyle="1" w:styleId="HeaderChar">
    <w:name w:val="Header Char"/>
    <w:basedOn w:val="DefaultParagraphFont"/>
    <w:link w:val="Header"/>
    <w:uiPriority w:val="99"/>
    <w:rsid w:val="003C6937"/>
  </w:style>
  <w:style w:type="paragraph" w:styleId="Footer">
    <w:name w:val="footer"/>
    <w:basedOn w:val="Normal"/>
    <w:link w:val="FooterChar"/>
    <w:uiPriority w:val="99"/>
    <w:unhideWhenUsed/>
    <w:rsid w:val="003C6937"/>
    <w:pPr>
      <w:tabs>
        <w:tab w:val="center" w:pos="4513"/>
        <w:tab w:val="right" w:pos="9026"/>
      </w:tabs>
    </w:pPr>
  </w:style>
  <w:style w:type="character" w:customStyle="1" w:styleId="FooterChar">
    <w:name w:val="Footer Char"/>
    <w:basedOn w:val="DefaultParagraphFont"/>
    <w:link w:val="Footer"/>
    <w:uiPriority w:val="99"/>
    <w:rsid w:val="003C6937"/>
  </w:style>
  <w:style w:type="character" w:styleId="Strong">
    <w:name w:val="Strong"/>
    <w:basedOn w:val="DefaultParagraphFont"/>
    <w:uiPriority w:val="22"/>
    <w:qFormat/>
    <w:rsid w:val="005A67A9"/>
    <w:rPr>
      <w:rFonts w:eastAsia="Times New Roman"/>
      <w:b/>
      <w:bCs/>
      <w:sz w:val="20"/>
      <w:szCs w:val="20"/>
      <w:lang w:eastAsia="en-AU"/>
    </w:rPr>
  </w:style>
  <w:style w:type="paragraph" w:customStyle="1" w:styleId="Body">
    <w:name w:val="Body"/>
    <w:basedOn w:val="Normal"/>
    <w:link w:val="BodyChar"/>
    <w:qFormat/>
    <w:rsid w:val="005A67A9"/>
    <w:pPr>
      <w:spacing w:after="160" w:line="259" w:lineRule="auto"/>
    </w:pPr>
    <w:rPr>
      <w:rFonts w:eastAsiaTheme="minorHAnsi"/>
      <w:sz w:val="22"/>
      <w:szCs w:val="22"/>
      <w:lang w:eastAsia="en-US"/>
    </w:rPr>
  </w:style>
  <w:style w:type="character" w:customStyle="1" w:styleId="BodyChar">
    <w:name w:val="Body Char"/>
    <w:basedOn w:val="DefaultParagraphFont"/>
    <w:link w:val="Body"/>
    <w:rsid w:val="005A67A9"/>
    <w:rPr>
      <w:rFonts w:eastAsiaTheme="minorHAnsi"/>
      <w:sz w:val="22"/>
      <w:szCs w:val="22"/>
      <w:lang w:eastAsia="en-US"/>
    </w:rPr>
  </w:style>
  <w:style w:type="paragraph" w:customStyle="1" w:styleId="Bullet1">
    <w:name w:val="Bullet 1"/>
    <w:basedOn w:val="Body"/>
    <w:link w:val="Bullet1Char"/>
    <w:qFormat/>
    <w:rsid w:val="005A67A9"/>
    <w:pPr>
      <w:numPr>
        <w:numId w:val="2"/>
      </w:numPr>
      <w:tabs>
        <w:tab w:val="num" w:pos="360"/>
      </w:tabs>
      <w:spacing w:after="40"/>
      <w:ind w:left="0" w:firstLine="0"/>
    </w:pPr>
  </w:style>
  <w:style w:type="paragraph" w:customStyle="1" w:styleId="Bullet2">
    <w:name w:val="Bullet 2"/>
    <w:basedOn w:val="Body"/>
    <w:uiPriority w:val="2"/>
    <w:qFormat/>
    <w:rsid w:val="005A67A9"/>
    <w:pPr>
      <w:numPr>
        <w:ilvl w:val="1"/>
        <w:numId w:val="2"/>
      </w:numPr>
      <w:tabs>
        <w:tab w:val="num" w:pos="360"/>
      </w:tabs>
      <w:spacing w:after="40"/>
      <w:ind w:left="0" w:firstLine="0"/>
    </w:pPr>
  </w:style>
  <w:style w:type="numbering" w:customStyle="1" w:styleId="ZZBullets">
    <w:name w:val="ZZ Bullets"/>
    <w:rsid w:val="005A67A9"/>
    <w:pPr>
      <w:numPr>
        <w:numId w:val="2"/>
      </w:numPr>
    </w:pPr>
  </w:style>
  <w:style w:type="character" w:customStyle="1" w:styleId="Bullet1Char">
    <w:name w:val="Bullet 1 Char"/>
    <w:basedOn w:val="DefaultParagraphFont"/>
    <w:link w:val="Bullet1"/>
    <w:rsid w:val="005A67A9"/>
    <w:rPr>
      <w:rFonts w:eastAsiaTheme="minorHAnsi"/>
      <w:sz w:val="22"/>
      <w:szCs w:val="22"/>
      <w:lang w:eastAsia="en-US"/>
    </w:rPr>
  </w:style>
  <w:style w:type="paragraph" w:styleId="NormalWeb">
    <w:name w:val="Normal (Web)"/>
    <w:basedOn w:val="Normal"/>
    <w:uiPriority w:val="99"/>
    <w:semiHidden/>
    <w:unhideWhenUsed/>
    <w:rsid w:val="00FE7261"/>
    <w:rPr>
      <w:rFonts w:ascii="Times New Roman" w:hAnsi="Times New Roman" w:cs="Times New Roman"/>
      <w:sz w:val="24"/>
      <w:szCs w:val="24"/>
    </w:rPr>
  </w:style>
  <w:style w:type="paragraph" w:styleId="Revision">
    <w:name w:val="Revision"/>
    <w:hidden/>
    <w:uiPriority w:val="99"/>
    <w:semiHidden/>
    <w:rsid w:val="00AF6463"/>
  </w:style>
  <w:style w:type="character" w:styleId="CommentReference">
    <w:name w:val="annotation reference"/>
    <w:basedOn w:val="DefaultParagraphFont"/>
    <w:uiPriority w:val="99"/>
    <w:semiHidden/>
    <w:unhideWhenUsed/>
    <w:rsid w:val="00BD4E56"/>
    <w:rPr>
      <w:sz w:val="16"/>
      <w:szCs w:val="16"/>
    </w:rPr>
  </w:style>
  <w:style w:type="paragraph" w:styleId="CommentText">
    <w:name w:val="annotation text"/>
    <w:basedOn w:val="Normal"/>
    <w:link w:val="CommentTextChar"/>
    <w:uiPriority w:val="99"/>
    <w:unhideWhenUsed/>
    <w:rsid w:val="00BD4E56"/>
  </w:style>
  <w:style w:type="character" w:customStyle="1" w:styleId="CommentTextChar">
    <w:name w:val="Comment Text Char"/>
    <w:basedOn w:val="DefaultParagraphFont"/>
    <w:link w:val="CommentText"/>
    <w:uiPriority w:val="99"/>
    <w:rsid w:val="00BD4E56"/>
  </w:style>
  <w:style w:type="paragraph" w:styleId="CommentSubject">
    <w:name w:val="annotation subject"/>
    <w:basedOn w:val="CommentText"/>
    <w:next w:val="CommentText"/>
    <w:link w:val="CommentSubjectChar"/>
    <w:uiPriority w:val="99"/>
    <w:semiHidden/>
    <w:unhideWhenUsed/>
    <w:rsid w:val="00BD4E56"/>
    <w:rPr>
      <w:b/>
      <w:bCs/>
    </w:rPr>
  </w:style>
  <w:style w:type="character" w:customStyle="1" w:styleId="CommentSubjectChar">
    <w:name w:val="Comment Subject Char"/>
    <w:basedOn w:val="CommentTextChar"/>
    <w:link w:val="CommentSubject"/>
    <w:uiPriority w:val="99"/>
    <w:semiHidden/>
    <w:rsid w:val="00BD4E56"/>
    <w:rPr>
      <w:b/>
      <w:bCs/>
    </w:rPr>
  </w:style>
  <w:style w:type="paragraph" w:styleId="NoSpacing">
    <w:name w:val="No Spacing"/>
    <w:uiPriority w:val="1"/>
    <w:qFormat/>
    <w:rsid w:val="00A07B84"/>
    <w:rPr>
      <w:rFonts w:asciiTheme="minorHAnsi" w:eastAsiaTheme="minorEastAsia" w:hAnsiTheme="minorHAnsi" w:cstheme="minorBidi"/>
      <w:lang w:eastAsia="en-US"/>
    </w:rPr>
  </w:style>
  <w:style w:type="character" w:styleId="Mention">
    <w:name w:val="Mention"/>
    <w:basedOn w:val="DefaultParagraphFont"/>
    <w:uiPriority w:val="99"/>
    <w:unhideWhenUsed/>
    <w:rsid w:val="00E20CBB"/>
    <w:rPr>
      <w:color w:val="2B579A"/>
      <w:shd w:val="clear" w:color="auto" w:fill="E1DFDD"/>
    </w:rPr>
  </w:style>
  <w:style w:type="paragraph" w:customStyle="1" w:styleId="pf0">
    <w:name w:val="pf0"/>
    <w:basedOn w:val="Normal"/>
    <w:rsid w:val="00C02337"/>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023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552</TotalTime>
  <Pages>27</Pages>
  <Words>8878</Words>
  <Characters>56908</Characters>
  <Application>Microsoft Office Word</Application>
  <DocSecurity>0</DocSecurity>
  <Lines>1778</Lines>
  <Paragraphs>526</Paragraphs>
  <ScaleCrop>false</ScaleCrop>
  <Company/>
  <LinksUpToDate>false</LinksUpToDate>
  <CharactersWithSpaces>65260</CharactersWithSpaces>
  <SharedDoc>false</SharedDoc>
  <HLinks>
    <vt:vector size="6" baseType="variant">
      <vt:variant>
        <vt:i4>7471120</vt:i4>
      </vt:variant>
      <vt:variant>
        <vt:i4>0</vt:i4>
      </vt:variant>
      <vt:variant>
        <vt:i4>0</vt:i4>
      </vt:variant>
      <vt:variant>
        <vt:i4>5</vt:i4>
      </vt:variant>
      <vt:variant>
        <vt:lpwstr>mailto:DByrnes@eyeandear.org.au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Nathalie Chasen</cp:lastModifiedBy>
  <cp:revision>497</cp:revision>
  <cp:lastPrinted>2026-05-15T00:09:00Z</cp:lastPrinted>
  <dcterms:created xsi:type="dcterms:W3CDTF">2026-04-17T20:22:00Z</dcterms:created>
  <dcterms:modified xsi:type="dcterms:W3CDTF">2026-05-15T00:10:00Z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ac51ccfa-29ce-43f4-950b-a02866804348</vt:lpwstr>
  </property>
</Properties>
</file>